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eb7d6e29642bca2a74b604f2eb35ba28447ad8"/>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$25.90｜市值</w:t>
      </w:r>
      <w:r>
        <w:t xml:space="preserve"> 34.8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0.22394（23位分析师）；收入一致预期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-44.6%</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52.1%</w:t>
            </w:r>
          </w:p>
        </w:tc>
      </w:tr>
      <w:tr>
        <w:tc>
          <w:tcPr/>
          <w:p>
            <w:pPr>
              <w:pStyle w:val="Compact"/>
            </w:pPr>
            <w:r>
              <w:t xml:space="preserve">2Q</w:t>
            </w:r>
          </w:p>
        </w:tc>
        <w:tc>
          <w:tcPr/>
          <w:p>
            <w:pPr>
              <w:pStyle w:val="Compact"/>
            </w:pPr>
            <w:r>
              <w:t xml:space="preserve">Bull</w:t>
            </w:r>
          </w:p>
        </w:tc>
        <w:tc>
          <w:tcPr/>
          <w:p>
            <w:pPr>
              <w:pStyle w:val="Compact"/>
            </w:pPr>
            <w:r>
              <w:t xml:space="preserve">$66.28</w:t>
            </w:r>
          </w:p>
        </w:tc>
        <w:tc>
          <w:tcPr/>
          <w:p>
            <w:pPr>
              <w:pStyle w:val="Compact"/>
            </w:pPr>
            <w:r>
              <w:t xml:space="preserve">155.9%</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-51.1%</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43.2%</w:t>
            </w:r>
          </w:p>
        </w:tc>
      </w:tr>
      <w:tr>
        <w:tc>
          <w:tcPr/>
          <w:p>
            <w:pPr>
              <w:pStyle w:val="Compact"/>
            </w:pPr>
            <w:r>
              <w:t xml:space="preserve">4Q</w:t>
            </w:r>
          </w:p>
        </w:tc>
        <w:tc>
          <w:tcPr/>
          <w:p>
            <w:pPr>
              <w:pStyle w:val="Compact"/>
            </w:pPr>
            <w:r>
              <w:t xml:space="preserve">Bull</w:t>
            </w:r>
          </w:p>
        </w:tc>
        <w:tc>
          <w:tcPr/>
          <w:p>
            <w:pPr>
              <w:pStyle w:val="Compact"/>
            </w:pPr>
            <w:r>
              <w:t xml:space="preserve">$63.96</w:t>
            </w:r>
          </w:p>
        </w:tc>
        <w:tc>
          <w:tcPr/>
          <w:p>
            <w:pPr>
              <w:pStyle w:val="Compact"/>
            </w:pPr>
            <w:r>
              <w:t xml:space="preserve">146.9%</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-57.1%</w:t>
            </w:r>
          </w:p>
        </w:tc>
      </w:tr>
      <w:tr>
        <w:tc>
          <w:tcPr/>
          <w:p>
            <w:pPr>
              <w:pStyle w:val="Compact"/>
            </w:pPr>
            <w:r>
              <w:t xml:space="preserve">6Q</w:t>
            </w:r>
          </w:p>
        </w:tc>
        <w:tc>
          <w:tcPr/>
          <w:p>
            <w:pPr>
              <w:pStyle w:val="Compact"/>
            </w:pPr>
            <w:r>
              <w:t xml:space="preserve">Base</w:t>
            </w:r>
          </w:p>
        </w:tc>
        <w:tc>
          <w:tcPr/>
          <w:p>
            <w:pPr>
              <w:pStyle w:val="Compact"/>
            </w:pPr>
            <w:r>
              <w:t xml:space="preserve">$34.90</w:t>
            </w:r>
          </w:p>
        </w:tc>
        <w:tc>
          <w:tcPr/>
          <w:p>
            <w:pPr>
              <w:pStyle w:val="Compact"/>
            </w:pPr>
            <w:r>
              <w:t xml:space="preserve">34.7%</w:t>
            </w:r>
          </w:p>
        </w:tc>
      </w:tr>
      <w:tr>
        <w:tc>
          <w:tcPr/>
          <w:p>
            <w:pPr>
              <w:pStyle w:val="Compact"/>
            </w:pPr>
            <w:r>
              <w:t xml:space="preserve">6Q</w:t>
            </w:r>
          </w:p>
        </w:tc>
        <w:tc>
          <w:tcPr/>
          <w:p>
            <w:pPr>
              <w:pStyle w:val="Compact"/>
            </w:pPr>
            <w:r>
              <w:t xml:space="preserve">Bull</w:t>
            </w:r>
          </w:p>
        </w:tc>
        <w:tc>
          <w:tcPr/>
          <w:p>
            <w:pPr>
              <w:pStyle w:val="Compact"/>
            </w:pPr>
            <w:r>
              <w:t xml:space="preserve">$61.70</w:t>
            </w:r>
          </w:p>
        </w:tc>
        <w:tc>
          <w:tcPr/>
          <w:p>
            <w:pPr>
              <w:pStyle w:val="Compact"/>
            </w:pPr>
            <w:r>
              <w:t xml:space="preserve">138.2%</w:t>
            </w:r>
          </w:p>
        </w:tc>
      </w:tr>
      <w:tr>
        <w:tc>
          <w:tcPr/>
          <w:p>
            <w:pPr>
              <w:pStyle w:val="Compact"/>
            </w:pPr>
            <w:r>
              <w:t xml:space="preserve">8Q</w:t>
            </w:r>
          </w:p>
        </w:tc>
        <w:tc>
          <w:tcPr/>
          <w:p>
            <w:pPr>
              <w:pStyle w:val="Compact"/>
            </w:pPr>
            <w:r>
              <w:t xml:space="preserve">Bear</w:t>
            </w:r>
          </w:p>
        </w:tc>
        <w:tc>
          <w:tcPr/>
          <w:p>
            <w:pPr>
              <w:pStyle w:val="Compact"/>
            </w:pPr>
            <w:r>
              <w:t xml:space="preserve">$9.69</w:t>
            </w:r>
          </w:p>
        </w:tc>
        <w:tc>
          <w:tcPr/>
          <w:p>
            <w:pPr>
              <w:pStyle w:val="Compact"/>
            </w:pPr>
            <w:r>
              <w:t xml:space="preserve">-62.6%</w:t>
            </w:r>
          </w:p>
        </w:tc>
      </w:tr>
      <w:tr>
        <w:tc>
          <w:tcPr/>
          <w:p>
            <w:pPr>
              <w:pStyle w:val="Compact"/>
            </w:pPr>
            <w:r>
              <w:t xml:space="preserve">8Q</w:t>
            </w:r>
          </w:p>
        </w:tc>
        <w:tc>
          <w:tcPr/>
          <w:p>
            <w:pPr>
              <w:pStyle w:val="Compact"/>
            </w:pPr>
            <w:r>
              <w:t xml:space="preserve">Base</w:t>
            </w:r>
          </w:p>
        </w:tc>
        <w:tc>
          <w:tcPr/>
          <w:p>
            <w:pPr>
              <w:pStyle w:val="Compact"/>
            </w:pPr>
            <w:r>
              <w:t xml:space="preserve">$32.83</w:t>
            </w:r>
          </w:p>
        </w:tc>
        <w:tc>
          <w:tcPr/>
          <w:p>
            <w:pPr>
              <w:pStyle w:val="Compact"/>
            </w:pPr>
            <w:r>
              <w:t xml:space="preserve">26.7%</w:t>
            </w:r>
          </w:p>
        </w:tc>
      </w:tr>
      <w:tr>
        <w:tc>
          <w:tcPr/>
          <w:p>
            <w:pPr>
              <w:pStyle w:val="Compact"/>
            </w:pPr>
            <w:r>
              <w:t xml:space="preserve">8Q</w:t>
            </w:r>
          </w:p>
        </w:tc>
        <w:tc>
          <w:tcPr/>
          <w:p>
            <w:pPr>
              <w:pStyle w:val="Compact"/>
            </w:pPr>
            <w:r>
              <w:t xml:space="preserve">Bull</w:t>
            </w:r>
          </w:p>
        </w:tc>
        <w:tc>
          <w:tcPr/>
          <w:p>
            <w:pPr>
              <w:pStyle w:val="Compact"/>
            </w:pPr>
            <w:r>
              <w:t xml:space="preserve">$59.52</w:t>
            </w:r>
          </w:p>
        </w:tc>
        <w:tc>
          <w:tcPr/>
          <w:p>
            <w:pPr>
              <w:pStyle w:val="Compact"/>
            </w:pPr>
            <w:r>
              <w:t xml:space="preserve">129.8%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18.3x</w:t>
            </w:r>
          </w:p>
        </w:tc>
      </w:tr>
      <w:tr>
        <w:tc>
          <w:tcPr/>
          <w:p>
            <w:pPr>
              <w:pStyle w:val="Compact"/>
            </w:pPr>
            <w:r>
              <w:t xml:space="preserve">4Q</w:t>
            </w:r>
          </w:p>
        </w:tc>
        <w:tc>
          <w:tcPr/>
          <w:p>
            <w:pPr>
              <w:pStyle w:val="Compact"/>
            </w:pPr>
            <w:r>
              <w:t xml:space="preserve">18.3x</w:t>
            </w:r>
          </w:p>
        </w:tc>
      </w:tr>
      <w:tr>
        <w:tc>
          <w:tcPr/>
          <w:p>
            <w:pPr>
              <w:pStyle w:val="Compact"/>
            </w:pPr>
            <w:r>
              <w:t xml:space="preserve">6Q</w:t>
            </w:r>
          </w:p>
        </w:tc>
        <w:tc>
          <w:tcPr/>
          <w:p>
            <w:pPr>
              <w:pStyle w:val="Compact"/>
            </w:pPr>
            <w:r>
              <w:t xml:space="preserve">18.3x</w:t>
            </w:r>
          </w:p>
        </w:tc>
      </w:tr>
      <w:tr>
        <w:tc>
          <w:tcPr/>
          <w:p>
            <w:pPr>
              <w:pStyle w:val="Compact"/>
            </w:pPr>
            <w:r>
              <w:t xml:space="preserve">8Q</w:t>
            </w:r>
          </w:p>
        </w:tc>
        <w:tc>
          <w:tcPr/>
          <w:p>
            <w:pPr>
              <w:pStyle w:val="Compact"/>
            </w:pPr>
            <w:r>
              <w:t xml:space="preserve">18.3x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w:t>
            </w:r>
          </w:p>
        </w:tc>
        <w:tc>
          <w:tcPr/>
          <w:p>
            <w:pPr>
              <w:pStyle w:val="Compact"/>
            </w:pPr>
            <w:r>
              <w:t xml:space="preserve">8.0%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$-2.63</w:t>
            </w:r>
          </w:p>
        </w:tc>
        <w:tc>
          <w:tcPr/>
          <w:p>
            <w:pPr>
              <w:pStyle w:val="Compact"/>
            </w:pPr>
            <w:r>
              <w:t xml:space="preserve">-110.2%</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$3.74</w:t>
            </w:r>
          </w:p>
        </w:tc>
        <w:tc>
          <w:tcPr/>
          <w:p>
            <w:pPr>
              <w:pStyle w:val="Compact"/>
            </w:pPr>
            <w:r>
              <w:t xml:space="preserve">-85.6%</w:t>
            </w:r>
          </w:p>
        </w:tc>
      </w:tr>
      <w:tr>
        <w:tc>
          <w:tcPr/>
          <w:p>
            <w:pPr>
              <w:pStyle w:val="Compact"/>
            </w:pPr>
            <w:r>
              <w:t xml:space="preserve">Bull</w:t>
            </w:r>
          </w:p>
        </w:tc>
        <w:tc>
          <w:tcPr/>
          <w:p>
            <w:pPr>
              <w:pStyle w:val="Compact"/>
            </w:pPr>
            <w:r>
              <w:t xml:space="preserve">4.0%</w:t>
            </w:r>
          </w:p>
        </w:tc>
        <w:tc>
          <w:tcPr/>
          <w:p>
            <w:pPr>
              <w:pStyle w:val="Compact"/>
            </w:pPr>
            <w:r>
              <w:t xml:space="preserve">11.5%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$9.62</w:t>
            </w:r>
          </w:p>
        </w:tc>
        <w:tc>
          <w:tcPr/>
          <w:p>
            <w:pPr>
              <w:pStyle w:val="Compact"/>
            </w:pPr>
            <w:r>
              <w:t xml:space="preserve">-62.9%</w:t>
            </w:r>
          </w:p>
        </w:tc>
      </w:tr>
    </w:tbl>
    <w:p>
      <w:pPr>
        <w:pStyle w:val="BodyText"/>
      </w:pPr>
      <w:r>
        <w:rPr>
          <w:rFonts w:hint="eastAsia"/>
        </w:rPr>
        <w:t xml:space="preserve">概率加权价值</w:t>
      </w:r>
      <w:r>
        <w:t xml:space="preserve"> </w:t>
      </w:r>
      <w:r>
        <w:rPr>
          <w:b/>
          <w:bCs/>
        </w:rPr>
        <w:t xml:space="preserve">$3.62</w:t>
      </w:r>
      <w:r>
        <w:rPr>
          <w:rFonts w:hint="eastAsia"/>
        </w:rPr>
        <w:t xml:space="preserve">（相对现价</w:t>
      </w:r>
      <w:r>
        <w:t xml:space="preserve"> </w:t>
      </w:r>
      <w:r>
        <w:rPr>
          <w:rFonts w:hint="eastAsia"/>
        </w:rPr>
        <w:t xml:space="preserve">-86.0%）。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29.0 bn </w:t>
      </w:r>
      <w:r>
        <w:rPr>
          <w:rFonts w:hint="eastAsia"/>
        </w:rPr>
        <w:t xml:space="preserve">USD；终值占比</w:t>
      </w:r>
      <w:r>
        <w:t xml:space="preserve"> 38.3%。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22.2%</w:t>
      </w:r>
      <w:r>
        <w:rPr>
          <w:rFonts w:hint="eastAsia"/>
        </w:rPr>
        <w:t xml:space="preserve">；一致预期FY+1增速</w:t>
      </w:r>
      <w:r>
        <w:t xml:space="preserve"> 3.1%。</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34.8 bn USD | 2.1x | 10.1x | 3.5% | 55.4% | 9.2% |</w:t>
      </w:r>
      <w:r>
        <w:t xml:space="preserve"> </w:t>
      </w:r>
      <w:r>
        <w:t xml:space="preserve">| RCL | 74.3 bn USD | 5.2x | 13.6x | 6.5% | 50.3% | -2.0% |</w:t>
      </w:r>
      <w:r>
        <w:t xml:space="preserve"> </w:t>
      </w:r>
      <w:r>
        <w:t xml:space="preserve">| NCLH | 6.9 bn USD | 2.2x | 9.8x | 4.9% | 42.5% | -24.3% |</w:t>
      </w:r>
      <w:r>
        <w:t xml:space="preserve"> </w:t>
      </w:r>
      <w:r>
        <w:t xml:space="preserve">| VIK | 37.3 bn USD | 5.7x | 19.1x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25.9</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3.483e+10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0.0309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0.0309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8cb98715fb19e2ea6a2a3aa9f565623822db656"/>
    <w:p>
      <w:pPr>
        <w:pStyle w:val="Heading1"/>
      </w:pPr>
      <w:r>
        <w:t xml:space="preserve">CCL Carnival Corporation Ltd. — Equity Deep Dive (Professional English) v20261017-0755</w:t>
      </w:r>
    </w:p>
    <w:p>
      <w:pPr>
        <w:pStyle w:val="BlockText"/>
      </w:pPr>
      <w:r>
        <w:t xml:space="preserve">Data as of 2026-10-17 07:55 SGT | Price $25.90 | Mkt cap 34.8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0.22394 (23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-44.6%</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52.1%</w:t>
            </w:r>
          </w:p>
        </w:tc>
      </w:tr>
      <w:tr>
        <w:tc>
          <w:tcPr/>
          <w:p>
            <w:pPr>
              <w:pStyle w:val="Compact"/>
            </w:pPr>
            <w:r>
              <w:t xml:space="preserve">2Q</w:t>
            </w:r>
          </w:p>
        </w:tc>
        <w:tc>
          <w:tcPr/>
          <w:p>
            <w:pPr>
              <w:pStyle w:val="Compact"/>
            </w:pPr>
            <w:r>
              <w:t xml:space="preserve">Bull</w:t>
            </w:r>
          </w:p>
        </w:tc>
        <w:tc>
          <w:tcPr/>
          <w:p>
            <w:pPr>
              <w:pStyle w:val="Compact"/>
            </w:pPr>
            <w:r>
              <w:t xml:space="preserve">$66.28</w:t>
            </w:r>
          </w:p>
        </w:tc>
        <w:tc>
          <w:tcPr/>
          <w:p>
            <w:pPr>
              <w:pStyle w:val="Compact"/>
            </w:pPr>
            <w:r>
              <w:t xml:space="preserve">155.9%</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-51.1%</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43.2%</w:t>
            </w:r>
          </w:p>
        </w:tc>
      </w:tr>
      <w:tr>
        <w:tc>
          <w:tcPr/>
          <w:p>
            <w:pPr>
              <w:pStyle w:val="Compact"/>
            </w:pPr>
            <w:r>
              <w:t xml:space="preserve">4Q</w:t>
            </w:r>
          </w:p>
        </w:tc>
        <w:tc>
          <w:tcPr/>
          <w:p>
            <w:pPr>
              <w:pStyle w:val="Compact"/>
            </w:pPr>
            <w:r>
              <w:t xml:space="preserve">Bull</w:t>
            </w:r>
          </w:p>
        </w:tc>
        <w:tc>
          <w:tcPr/>
          <w:p>
            <w:pPr>
              <w:pStyle w:val="Compact"/>
            </w:pPr>
            <w:r>
              <w:t xml:space="preserve">$63.96</w:t>
            </w:r>
          </w:p>
        </w:tc>
        <w:tc>
          <w:tcPr/>
          <w:p>
            <w:pPr>
              <w:pStyle w:val="Compact"/>
            </w:pPr>
            <w:r>
              <w:t xml:space="preserve">146.9%</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-57.1%</w:t>
            </w:r>
          </w:p>
        </w:tc>
      </w:tr>
      <w:tr>
        <w:tc>
          <w:tcPr/>
          <w:p>
            <w:pPr>
              <w:pStyle w:val="Compact"/>
            </w:pPr>
            <w:r>
              <w:t xml:space="preserve">6Q</w:t>
            </w:r>
          </w:p>
        </w:tc>
        <w:tc>
          <w:tcPr/>
          <w:p>
            <w:pPr>
              <w:pStyle w:val="Compact"/>
            </w:pPr>
            <w:r>
              <w:t xml:space="preserve">Base</w:t>
            </w:r>
          </w:p>
        </w:tc>
        <w:tc>
          <w:tcPr/>
          <w:p>
            <w:pPr>
              <w:pStyle w:val="Compact"/>
            </w:pPr>
            <w:r>
              <w:t xml:space="preserve">$34.90</w:t>
            </w:r>
          </w:p>
        </w:tc>
        <w:tc>
          <w:tcPr/>
          <w:p>
            <w:pPr>
              <w:pStyle w:val="Compact"/>
            </w:pPr>
            <w:r>
              <w:t xml:space="preserve">34.7%</w:t>
            </w:r>
          </w:p>
        </w:tc>
      </w:tr>
      <w:tr>
        <w:tc>
          <w:tcPr/>
          <w:p>
            <w:pPr>
              <w:pStyle w:val="Compact"/>
            </w:pPr>
            <w:r>
              <w:t xml:space="preserve">6Q</w:t>
            </w:r>
          </w:p>
        </w:tc>
        <w:tc>
          <w:tcPr/>
          <w:p>
            <w:pPr>
              <w:pStyle w:val="Compact"/>
            </w:pPr>
            <w:r>
              <w:t xml:space="preserve">Bull</w:t>
            </w:r>
          </w:p>
        </w:tc>
        <w:tc>
          <w:tcPr/>
          <w:p>
            <w:pPr>
              <w:pStyle w:val="Compact"/>
            </w:pPr>
            <w:r>
              <w:t xml:space="preserve">$61.70</w:t>
            </w:r>
          </w:p>
        </w:tc>
        <w:tc>
          <w:tcPr/>
          <w:p>
            <w:pPr>
              <w:pStyle w:val="Compact"/>
            </w:pPr>
            <w:r>
              <w:t xml:space="preserve">138.2%</w:t>
            </w:r>
          </w:p>
        </w:tc>
      </w:tr>
      <w:tr>
        <w:tc>
          <w:tcPr/>
          <w:p>
            <w:pPr>
              <w:pStyle w:val="Compact"/>
            </w:pPr>
            <w:r>
              <w:t xml:space="preserve">8Q</w:t>
            </w:r>
          </w:p>
        </w:tc>
        <w:tc>
          <w:tcPr/>
          <w:p>
            <w:pPr>
              <w:pStyle w:val="Compact"/>
            </w:pPr>
            <w:r>
              <w:t xml:space="preserve">Bear</w:t>
            </w:r>
          </w:p>
        </w:tc>
        <w:tc>
          <w:tcPr/>
          <w:p>
            <w:pPr>
              <w:pStyle w:val="Compact"/>
            </w:pPr>
            <w:r>
              <w:t xml:space="preserve">$9.69</w:t>
            </w:r>
          </w:p>
        </w:tc>
        <w:tc>
          <w:tcPr/>
          <w:p>
            <w:pPr>
              <w:pStyle w:val="Compact"/>
            </w:pPr>
            <w:r>
              <w:t xml:space="preserve">-62.6%</w:t>
            </w:r>
          </w:p>
        </w:tc>
      </w:tr>
      <w:tr>
        <w:tc>
          <w:tcPr/>
          <w:p>
            <w:pPr>
              <w:pStyle w:val="Compact"/>
            </w:pPr>
            <w:r>
              <w:t xml:space="preserve">8Q</w:t>
            </w:r>
          </w:p>
        </w:tc>
        <w:tc>
          <w:tcPr/>
          <w:p>
            <w:pPr>
              <w:pStyle w:val="Compact"/>
            </w:pPr>
            <w:r>
              <w:t xml:space="preserve">Base</w:t>
            </w:r>
          </w:p>
        </w:tc>
        <w:tc>
          <w:tcPr/>
          <w:p>
            <w:pPr>
              <w:pStyle w:val="Compact"/>
            </w:pPr>
            <w:r>
              <w:t xml:space="preserve">$32.83</w:t>
            </w:r>
          </w:p>
        </w:tc>
        <w:tc>
          <w:tcPr/>
          <w:p>
            <w:pPr>
              <w:pStyle w:val="Compact"/>
            </w:pPr>
            <w:r>
              <w:t xml:space="preserve">26.7%</w:t>
            </w:r>
          </w:p>
        </w:tc>
      </w:tr>
      <w:tr>
        <w:tc>
          <w:tcPr/>
          <w:p>
            <w:pPr>
              <w:pStyle w:val="Compact"/>
            </w:pPr>
            <w:r>
              <w:t xml:space="preserve">8Q</w:t>
            </w:r>
          </w:p>
        </w:tc>
        <w:tc>
          <w:tcPr/>
          <w:p>
            <w:pPr>
              <w:pStyle w:val="Compact"/>
            </w:pPr>
            <w:r>
              <w:t xml:space="preserve">Bull</w:t>
            </w:r>
          </w:p>
        </w:tc>
        <w:tc>
          <w:tcPr/>
          <w:p>
            <w:pPr>
              <w:pStyle w:val="Compact"/>
            </w:pPr>
            <w:r>
              <w:t xml:space="preserve">$59.52</w:t>
            </w:r>
          </w:p>
        </w:tc>
        <w:tc>
          <w:tcPr/>
          <w:p>
            <w:pPr>
              <w:pStyle w:val="Compact"/>
            </w:pPr>
            <w:r>
              <w:t xml:space="preserve">129.8%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18.3x</w:t>
            </w:r>
          </w:p>
        </w:tc>
      </w:tr>
      <w:tr>
        <w:tc>
          <w:tcPr/>
          <w:p>
            <w:pPr>
              <w:pStyle w:val="Compact"/>
            </w:pPr>
            <w:r>
              <w:t xml:space="preserve">4Q</w:t>
            </w:r>
          </w:p>
        </w:tc>
        <w:tc>
          <w:tcPr/>
          <w:p>
            <w:pPr>
              <w:pStyle w:val="Compact"/>
            </w:pPr>
            <w:r>
              <w:t xml:space="preserve">18.3x</w:t>
            </w:r>
          </w:p>
        </w:tc>
      </w:tr>
      <w:tr>
        <w:tc>
          <w:tcPr/>
          <w:p>
            <w:pPr>
              <w:pStyle w:val="Compact"/>
            </w:pPr>
            <w:r>
              <w:t xml:space="preserve">6Q</w:t>
            </w:r>
          </w:p>
        </w:tc>
        <w:tc>
          <w:tcPr/>
          <w:p>
            <w:pPr>
              <w:pStyle w:val="Compact"/>
            </w:pPr>
            <w:r>
              <w:t xml:space="preserve">18.3x</w:t>
            </w:r>
          </w:p>
        </w:tc>
      </w:tr>
      <w:tr>
        <w:tc>
          <w:tcPr/>
          <w:p>
            <w:pPr>
              <w:pStyle w:val="Compact"/>
            </w:pPr>
            <w:r>
              <w:t xml:space="preserve">8Q</w:t>
            </w:r>
          </w:p>
        </w:tc>
        <w:tc>
          <w:tcPr/>
          <w:p>
            <w:pPr>
              <w:pStyle w:val="Compact"/>
            </w:pPr>
            <w:r>
              <w:t xml:space="preserve">18.3x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w:t>
            </w:r>
          </w:p>
        </w:tc>
        <w:tc>
          <w:tcPr/>
          <w:p>
            <w:pPr>
              <w:pStyle w:val="Compact"/>
            </w:pPr>
            <w:r>
              <w:t xml:space="preserve">8.0%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$-2.63</w:t>
            </w:r>
          </w:p>
        </w:tc>
        <w:tc>
          <w:tcPr/>
          <w:p>
            <w:pPr>
              <w:pStyle w:val="Compact"/>
            </w:pPr>
            <w:r>
              <w:t xml:space="preserve">-110.2%</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$3.74</w:t>
            </w:r>
          </w:p>
        </w:tc>
        <w:tc>
          <w:tcPr/>
          <w:p>
            <w:pPr>
              <w:pStyle w:val="Compact"/>
            </w:pPr>
            <w:r>
              <w:t xml:space="preserve">-85.6%</w:t>
            </w:r>
          </w:p>
        </w:tc>
      </w:tr>
      <w:tr>
        <w:tc>
          <w:tcPr/>
          <w:p>
            <w:pPr>
              <w:pStyle w:val="Compact"/>
            </w:pPr>
            <w:r>
              <w:t xml:space="preserve">Bull</w:t>
            </w:r>
          </w:p>
        </w:tc>
        <w:tc>
          <w:tcPr/>
          <w:p>
            <w:pPr>
              <w:pStyle w:val="Compact"/>
            </w:pPr>
            <w:r>
              <w:t xml:space="preserve">4.0%</w:t>
            </w:r>
          </w:p>
        </w:tc>
        <w:tc>
          <w:tcPr/>
          <w:p>
            <w:pPr>
              <w:pStyle w:val="Compact"/>
            </w:pPr>
            <w:r>
              <w:t xml:space="preserve">11.5%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$9.62</w:t>
            </w:r>
          </w:p>
        </w:tc>
        <w:tc>
          <w:tcPr/>
          <w:p>
            <w:pPr>
              <w:pStyle w:val="Compact"/>
            </w:pPr>
            <w:r>
              <w:t xml:space="preserve">-62.9%</w:t>
            </w:r>
          </w:p>
        </w:tc>
      </w:tr>
    </w:tbl>
    <w:p>
      <w:pPr>
        <w:pStyle w:val="BodyText"/>
      </w:pPr>
      <w:r>
        <w:t xml:space="preserve">Probability-weighted value</w:t>
      </w:r>
      <w:r>
        <w:t xml:space="preserve"> </w:t>
      </w:r>
      <w:r>
        <w:rPr>
          <w:b/>
          <w:bCs/>
        </w:rPr>
        <w:t xml:space="preserve">$3.62</w:t>
      </w:r>
      <w:r>
        <w:t xml:space="preserve"> </w:t>
      </w:r>
      <w:r>
        <w:t xml:space="preserve">(-86.0%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29.0 bn USD; terminal share 38.3%.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22.2%</w:t>
      </w:r>
      <w:r>
        <w:t xml:space="preserve"> </w:t>
      </w:r>
      <w:r>
        <w:t xml:space="preserve">vs consensus FY+1 3.1%.</w:t>
      </w:r>
    </w:p>
    <w:p>
      <w:pPr>
        <w:pStyle w:val="Compact"/>
        <w:numPr>
          <w:ilvl w:val="0"/>
          <w:numId w:val="1013"/>
        </w:numPr>
      </w:pPr>
      <w:r>
        <w:t xml:space="preserve">WACC (CAPM) = rf 5.1% + β 1.60 × ERP 5.0% = 13.1%.</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2026-10-16T23:58:35Z</dcterms:created>
  <dcterms:modified xsi:type="dcterms:W3CDTF">2026-10-16T23:58:35Z</dcterms:modified>
</cp:coreProperties>
</file>

<file path=docProps/custom.xml><?xml version="1.0" encoding="utf-8"?>
<Properties xmlns="http://schemas.openxmlformats.org/officeDocument/2006/custom-properties" xmlns:vt="http://schemas.openxmlformats.org/officeDocument/2006/docPropsVTypes"/>
</file>