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75a22edf46c5d6b431ba347787ff5558f86ffb6"/>
    <w:p>
      <w:pPr>
        <w:pStyle w:val="Heading1"/>
      </w:pPr>
      <w:r>
        <w:t xml:space="preserve">KLAC KLA Corporation 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v20261017-0755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2026-10-17 07:55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$165.74｜市值</w:t>
      </w:r>
      <w:r>
        <w:t xml:space="preserve"> 216.3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KLA在检测量测几乎寡占，先进制程/HBM/先进封装复杂度提升使检测强度上升；高ROIC、强回购。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WFE grows with N2/A16 and HBM; packaging inspection </w:t>
      </w:r>
      <w:r>
        <w:rPr>
          <w:rFonts w:hint="eastAsia"/>
        </w:rPr>
        <w:t xml:space="preserve">grows｜WFE随N2与HBM增长；封装检测成长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China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WFE outlook cut; process-control share </w:t>
      </w:r>
      <w:r>
        <w:rPr>
          <w:rFonts w:hint="eastAsia"/>
        </w:rPr>
        <w:t xml:space="preserve">loss｜WFE展望下修；份额流失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Process control / inspection </w:t>
      </w:r>
      <w:r>
        <w:rPr>
          <w:rFonts w:hint="eastAsia"/>
        </w:rPr>
        <w:t xml:space="preserve">量测检测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Semiconductor process control </w:t>
      </w:r>
      <w:r>
        <w:rPr>
          <w:rFonts w:hint="eastAsia"/>
        </w:rPr>
        <w:t xml:space="preserve">半导体过程控制；Specialty</w:t>
      </w:r>
      <w:r>
        <w:t xml:space="preserve"> semi process </w:t>
      </w:r>
      <w:r>
        <w:rPr>
          <w:rFonts w:hint="eastAsia"/>
        </w:rPr>
        <w:t xml:space="preserve">特种工艺；PCB</w:t>
      </w:r>
      <w:r>
        <w:t xml:space="preserve"> &amp; component inspection </w:t>
      </w:r>
      <w:r>
        <w:rPr>
          <w:rFonts w:hint="eastAsia"/>
        </w:rPr>
        <w:t xml:space="preserve">PCB检测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KLA Corporation, together with its subsidiaries, provides process control and process-enabling solutions for manufacturing wafers, reticles/masks, chemicals/materials, integrated circuits (ICs), packaged ICs, and printed circuit boards. It operates through three segments: Semiconductor Process Control; Specialty Semiconductor Process; and PCB and Component Inspection. The company offers inspection and review tools to identify, locate, characterize, review, and analyze defects on various surfaces of patterned and unpatterned wafers; chemical process control equipment; wired and wireless sensor wafers and reticles; wafer defect inspection, review, and metrology systems; reticle inspection and metrology systems; wafer inspection and metrology systems; semiconductor software solutions; KLA Pro systems; and specialty semiconductor manufacturing, benchtop metrology, surface characterization, m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TSMC, Samsung, Intel, SK hynix, Micron, Chinese </w:t>
      </w:r>
      <w:r>
        <w:rPr>
          <w:rFonts w:hint="eastAsia"/>
        </w:rPr>
        <w:t xml:space="preserve">fabs｜台积电、三星、英特尔、海力士、美光、中国晶圆厂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Optics, lasers, precision </w:t>
      </w:r>
      <w:r>
        <w:rPr>
          <w:rFonts w:hint="eastAsia"/>
        </w:rPr>
        <w:t xml:space="preserve">components｜光学、激光、精密部件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AMAT (e-beam), Hitachi High-Tech, Lasertec, Onto, </w:t>
      </w:r>
      <w:r>
        <w:rPr>
          <w:rFonts w:hint="eastAsia"/>
        </w:rPr>
        <w:t xml:space="preserve">Nova｜应材、日立高新、Lasertec、Onto、Nova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China export controls, leading-edge capex </w:t>
      </w:r>
      <w:r>
        <w:rPr>
          <w:rFonts w:hint="eastAsia"/>
        </w:rPr>
        <w:t xml:space="preserve">cycle｜对华出口管制、先进制程Capex周期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Revenue, GM%, China mix, backlog, </w:t>
      </w:r>
      <w:r>
        <w:rPr>
          <w:rFonts w:hint="eastAsia"/>
        </w:rPr>
        <w:t xml:space="preserve">buybacks｜收入、毛利率、中国占比、积压、回购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3.7 bn USD</w:t>
            </w:r>
          </w:p>
        </w:tc>
        <w:tc>
          <w:tcPr/>
          <w:p>
            <w:pPr>
              <w:pStyle w:val="Compact"/>
            </w:pPr>
            <w:r>
              <w:t xml:space="preserve">2.2 bn USD</w:t>
            </w:r>
          </w:p>
        </w:tc>
        <w:tc>
          <w:tcPr/>
          <w:p>
            <w:pPr>
              <w:pStyle w:val="Compact"/>
            </w:pPr>
            <w:r>
              <w:t xml:space="preserve">1.6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3.4 bn USD</w:t>
            </w:r>
          </w:p>
        </w:tc>
        <w:tc>
          <w:tcPr/>
          <w:p>
            <w:pPr>
              <w:pStyle w:val="Compact"/>
            </w:pPr>
            <w:r>
              <w:t xml:space="preserve">2.1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41.2%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3.3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41.3%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4.9 bn </w:t>
      </w:r>
      <w:r>
        <w:rPr>
          <w:rFonts w:hint="eastAsia"/>
        </w:rPr>
        <w:t xml:space="preserve">USD；总负债</w:t>
      </w:r>
      <w:r>
        <w:t xml:space="preserve"> 6.2 bn </w:t>
      </w:r>
      <w:r>
        <w:rPr>
          <w:rFonts w:hint="eastAsia"/>
        </w:rPr>
        <w:t xml:space="preserve">USD；净现金</w:t>
      </w:r>
      <w:r>
        <w:t xml:space="preserve"> -1.2 bn USD。TTM FCF 3.8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27.7%）。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0.86172</w:t>
            </w:r>
          </w:p>
        </w:tc>
        <w:tc>
          <w:tcPr/>
          <w:p>
            <w:pPr>
              <w:pStyle w:val="Compact"/>
            </w:pPr>
            <w:r>
              <w:t xml:space="preserve">0.0224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0.87978</w:t>
            </w:r>
          </w:p>
        </w:tc>
        <w:tc>
          <w:tcPr/>
          <w:p>
            <w:pPr>
              <w:pStyle w:val="Compact"/>
            </w:pPr>
            <w:r>
              <w:t xml:space="preserve">0.0058999998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0.91703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0.99866</w:t>
            </w:r>
          </w:p>
        </w:tc>
        <w:tc>
          <w:tcPr/>
          <w:p>
            <w:pPr>
              <w:pStyle w:val="Compact"/>
            </w:pPr>
            <w:r>
              <w:t xml:space="preserve">0.0514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2026-10-29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1.17822（22位分析师）；收入一致预期</w:t>
      </w:r>
      <w:r>
        <w:t xml:space="preserve"> 4.0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$43.80</w:t>
            </w:r>
          </w:p>
        </w:tc>
        <w:tc>
          <w:tcPr/>
          <w:p>
            <w:pPr>
              <w:pStyle w:val="Compact"/>
            </w:pPr>
            <w:r>
              <w:t xml:space="preserve">-73.6%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$89.55</w:t>
            </w:r>
          </w:p>
        </w:tc>
        <w:tc>
          <w:tcPr/>
          <w:p>
            <w:pPr>
              <w:pStyle w:val="Compact"/>
            </w:pPr>
            <w:r>
              <w:t xml:space="preserve">-46.0%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$141.68</w:t>
            </w:r>
          </w:p>
        </w:tc>
        <w:tc>
          <w:tcPr/>
          <w:p>
            <w:pPr>
              <w:pStyle w:val="Compact"/>
            </w:pPr>
            <w:r>
              <w:t xml:space="preserve">-14.5%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$42.46</w:t>
            </w:r>
          </w:p>
        </w:tc>
        <w:tc>
          <w:tcPr/>
          <w:p>
            <w:pPr>
              <w:pStyle w:val="Compact"/>
            </w:pPr>
            <w:r>
              <w:t xml:space="preserve">-74.4%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$92.96</w:t>
            </w:r>
          </w:p>
        </w:tc>
        <w:tc>
          <w:tcPr/>
          <w:p>
            <w:pPr>
              <w:pStyle w:val="Compact"/>
            </w:pPr>
            <w:r>
              <w:t xml:space="preserve">-43.9%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$153.06</w:t>
            </w:r>
          </w:p>
        </w:tc>
        <w:tc>
          <w:tcPr/>
          <w:p>
            <w:pPr>
              <w:pStyle w:val="Compact"/>
            </w:pPr>
            <w:r>
              <w:t xml:space="preserve">-7.7%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$41.16</w:t>
            </w:r>
          </w:p>
        </w:tc>
        <w:tc>
          <w:tcPr/>
          <w:p>
            <w:pPr>
              <w:pStyle w:val="Compact"/>
            </w:pPr>
            <w:r>
              <w:t xml:space="preserve">-75.2%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$96.48</w:t>
            </w:r>
          </w:p>
        </w:tc>
        <w:tc>
          <w:tcPr/>
          <w:p>
            <w:pPr>
              <w:pStyle w:val="Compact"/>
            </w:pPr>
            <w:r>
              <w:t xml:space="preserve">-41.8%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$165.26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$39.89</w:t>
            </w:r>
          </w:p>
        </w:tc>
        <w:tc>
          <w:tcPr/>
          <w:p>
            <w:pPr>
              <w:pStyle w:val="Compact"/>
            </w:pPr>
            <w:r>
              <w:t xml:space="preserve">-75.9%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$100.12</w:t>
            </w:r>
          </w:p>
        </w:tc>
        <w:tc>
          <w:tcPr/>
          <w:p>
            <w:pPr>
              <w:pStyle w:val="Compact"/>
            </w:pPr>
            <w:r>
              <w:t xml:space="preserve">-39.6%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$178.33</w:t>
            </w:r>
          </w:p>
        </w:tc>
        <w:tc>
          <w:tcPr/>
          <w:p>
            <w:pPr>
              <w:pStyle w:val="Compact"/>
            </w:pPr>
            <w:r>
              <w:t xml:space="preserve">7.6%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43.5x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39.5x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36.0x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32.7x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9.5%</w:t>
            </w:r>
          </w:p>
        </w:tc>
        <w:tc>
          <w:tcPr/>
          <w:p>
            <w:pPr>
              <w:pStyle w:val="Compact"/>
            </w:pPr>
            <w:r>
              <w:t xml:space="preserve">24.0%</w:t>
            </w:r>
          </w:p>
        </w:tc>
        <w:tc>
          <w:tcPr/>
          <w:p>
            <w:pPr>
              <w:pStyle w:val="Compact"/>
            </w:pPr>
            <w:r>
              <w:t xml:space="preserve">13.3%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$30.51</w:t>
            </w:r>
          </w:p>
        </w:tc>
        <w:tc>
          <w:tcPr/>
          <w:p>
            <w:pPr>
              <w:pStyle w:val="Compact"/>
            </w:pPr>
            <w:r>
              <w:t xml:space="preserve">-81.6%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18.9%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$61.86</w:t>
            </w:r>
          </w:p>
        </w:tc>
        <w:tc>
          <w:tcPr/>
          <w:p>
            <w:pPr>
              <w:pStyle w:val="Compact"/>
            </w:pPr>
            <w:r>
              <w:t xml:space="preserve">-62.7%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  <w:tc>
          <w:tcPr/>
          <w:p>
            <w:pPr>
              <w:pStyle w:val="Compact"/>
            </w:pPr>
            <w:r>
              <w:t xml:space="preserve">34.5%</w:t>
            </w:r>
          </w:p>
        </w:tc>
        <w:tc>
          <w:tcPr/>
          <w:p>
            <w:pPr>
              <w:pStyle w:val="Compact"/>
            </w:pPr>
            <w:r>
              <w:t xml:space="preserve">11.8%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$97.71</w:t>
            </w:r>
          </w:p>
        </w:tc>
        <w:tc>
          <w:tcPr/>
          <w:p>
            <w:pPr>
              <w:pStyle w:val="Compact"/>
            </w:pPr>
            <w:r>
              <w:t xml:space="preserve">-41.0%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$62.99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-62.0%）。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82.0 bn </w:t>
      </w:r>
      <w:r>
        <w:rPr>
          <w:rFonts w:hint="eastAsia"/>
        </w:rPr>
        <w:t xml:space="preserve">USD；终值占比</w:t>
      </w:r>
      <w:r>
        <w:t xml:space="preserve"> 48.0%。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46.2%</w:t>
      </w:r>
      <w:r>
        <w:rPr>
          <w:rFonts w:hint="eastAsia"/>
        </w:rPr>
        <w:t xml:space="preserve">；一致预期FY+1增速</w:t>
      </w:r>
      <w:r>
        <w:t xml:space="preserve"> 18.9%。</w:t>
      </w:r>
    </w:p>
    <w:p>
      <w:pPr>
        <w:numPr>
          <w:ilvl w:val="0"/>
          <w:numId w:val="1005"/>
        </w:numPr>
      </w:pPr>
      <w:r>
        <w:t xml:space="preserve">WACC (CAPM) = rf 5.1% + β 1.45 × ERP 5.0% = 12.3%。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Semiconductor process control </w:t>
      </w:r>
      <w:r>
        <w:rPr>
          <w:rFonts w:hint="eastAsia"/>
        </w:rPr>
        <w:t xml:space="preserve">半导体过程控制;</w:t>
      </w:r>
      <w:r>
        <w:t xml:space="preserve"> Specialty semi process </w:t>
      </w:r>
      <w:r>
        <w:rPr>
          <w:rFonts w:hint="eastAsia"/>
        </w:rPr>
        <w:t xml:space="preserve">特种工艺;</w:t>
      </w:r>
      <w:r>
        <w:t xml:space="preserve"> PCB &amp; component inspection </w:t>
      </w:r>
      <w:r>
        <w:rPr>
          <w:rFonts w:hint="eastAsia"/>
        </w:rPr>
        <w:t xml:space="preserve">PCB检测.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KLAC | 216.3 bn USD | 16.0x | 24.6x | 15.2% | 61.3% | 1.7% |</w:t>
      </w:r>
      <w:r>
        <w:t xml:space="preserve"> </w:t>
      </w:r>
      <w:r>
        <w:t xml:space="preserve">| AMAT | 324.8 bn USD | 10.5x | 22.2x | 24.8% | 49.4% | 0.9% |</w:t>
      </w:r>
      <w:r>
        <w:t xml:space="preserve"> </w:t>
      </w:r>
      <w:r>
        <w:t xml:space="preserve">| LRCX | 330.3 bn USD | 14.2x | 22.4x | 30.0% | 50.5% | 0.9% |</w:t>
      </w:r>
      <w:r>
        <w:t xml:space="preserve"> </w:t>
      </w:r>
      <w:r>
        <w:t xml:space="preserve">| ASML | 630.5 bn USD | 884.8x | 26.2x | 55.2% | 54.3% | 1.6% |</w:t>
      </w:r>
      <w:r>
        <w:t xml:space="preserve"> </w:t>
      </w:r>
      <w:r>
        <w:t xml:space="preserve">| 8035.T | 4,825.7 bn USD | 9.0x | 8.3x | 33.3% | 45.6% | 6.2%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China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WFE outlook cut; process-control share </w:t>
      </w:r>
      <w:r>
        <w:rPr>
          <w:rFonts w:hint="eastAsia"/>
        </w:rPr>
        <w:t xml:space="preserve">loss｜WFE展望下修；份额流失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165.7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2026-10-17T07:55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2.163e+11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2026-10-17T07:55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4.902e+09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2026-10-17T07:55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6.152e+09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2026-10-17T07:55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1.358e+10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2026-10-17T07:55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3.767e+09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1.447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FRED DGS10 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0.336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0.1892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1.45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0.1892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0.2774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KLAC_model_v20261017-0755.xlsx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data/snapshots/20261017-0755</w:t>
      </w:r>
      <w:r>
        <w:t xml:space="preserve"> </w:t>
      </w:r>
      <w:r>
        <w:t xml:space="preserve">(immutable) | Fetched 2026-10-17 07:55 SGT | Generated 2026-10-17 07:57 SGT</w:t>
      </w:r>
    </w:p>
    <w:p>
      <w:pPr>
        <w:pStyle w:val="Compact"/>
        <w:numPr>
          <w:ilvl w:val="0"/>
          <w:numId w:val="1007"/>
        </w:numPr>
      </w:pPr>
      <w:r>
        <w:t xml:space="preserve">Version: v20261017-0755.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v20261017-0755: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2026-10-29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KLAC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KLAC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KLAC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KLAC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KLAC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5ba260dc1e6825fd11cf4e67701d453f8f21ec7"/>
    <w:p>
      <w:pPr>
        <w:pStyle w:val="Heading1"/>
      </w:pPr>
      <w:r>
        <w:t xml:space="preserve">KLAC KLA Corporation — Equity Deep Dive (Professional English) v20261017-0755</w:t>
      </w:r>
    </w:p>
    <w:p>
      <w:pPr>
        <w:pStyle w:val="BlockText"/>
      </w:pPr>
      <w:r>
        <w:t xml:space="preserve">Data as of 2026-10-17 07:55 SGT | Price $165.74 | Mkt cap 216.3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KLA is a near-oligopoly in inspection/metrology; rising complexity at leading-edge, HBM and advanced packaging increases process-control intensity. High ROIC, strong buybacks.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WFE grows with N2/A16 and HBM; packaging inspection </w:t>
      </w:r>
      <w:r>
        <w:rPr>
          <w:rFonts w:hint="eastAsia"/>
        </w:rPr>
        <w:t xml:space="preserve">grows｜WFE随N2与HBM增长；封装检测成长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China revenue normalization, WFE </w:t>
      </w:r>
      <w:r>
        <w:rPr>
          <w:rFonts w:hint="eastAsia"/>
        </w:rPr>
        <w:t xml:space="preserve">digestion｜中国收入回落、WFE消化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WFE outlook cut; process-control share </w:t>
      </w:r>
      <w:r>
        <w:rPr>
          <w:rFonts w:hint="eastAsia"/>
        </w:rPr>
        <w:t xml:space="preserve">loss｜WFE展望下修；份额流失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Process control / inspection </w:t>
      </w:r>
      <w:r>
        <w:rPr>
          <w:rFonts w:hint="eastAsia"/>
        </w:rPr>
        <w:t xml:space="preserve">量测检测</w:t>
      </w:r>
      <w:r>
        <w:t xml:space="preserve"> | Segments: Semiconductor process control </w:t>
      </w:r>
      <w:r>
        <w:rPr>
          <w:rFonts w:hint="eastAsia"/>
        </w:rPr>
        <w:t xml:space="preserve">半导体过程控制;</w:t>
      </w:r>
      <w:r>
        <w:t xml:space="preserve"> Specialty semi process </w:t>
      </w:r>
      <w:r>
        <w:rPr>
          <w:rFonts w:hint="eastAsia"/>
        </w:rPr>
        <w:t xml:space="preserve">特种工艺;</w:t>
      </w:r>
      <w:r>
        <w:t xml:space="preserve"> PCB &amp; component inspection </w:t>
      </w:r>
      <w:r>
        <w:rPr>
          <w:rFonts w:hint="eastAsia"/>
        </w:rPr>
        <w:t xml:space="preserve">PCB检测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KLA Corporation, together with its subsidiaries, provides process control and process-enabling solutions for manufacturing wafers, reticles/masks, chemicals/materials, integrated circuits (ICs), packaged ICs, and printed circuit boards. It operates through three segments: Semiconductor Process Control; Specialty Semiconductor Process; and PCB and Component Inspection. The company offers inspection and review tools to identify, locate, characterize, review, and analyze defects on various surfaces of patterned and unpatterned wafers; chemical process control equipment; wired and wireless sensor wafers and reticles; wafer defect inspection, review, and metrology systems; reticle inspection and metrology systems; wafer inspection and metrology systems; semiconductor software solutions; KLA Pro systems; and specialty semiconductor manufacturing, benchtop metrology, surface characterization, m</w:t>
      </w:r>
    </w:p>
    <w:p>
      <w:pPr>
        <w:pStyle w:val="Compact"/>
        <w:numPr>
          <w:ilvl w:val="0"/>
          <w:numId w:val="1010"/>
        </w:numPr>
      </w:pPr>
      <w:r>
        <w:t xml:space="preserve">Customers: TSMC, Samsung, Intel, SK hynix, Micron, Chinese </w:t>
      </w:r>
      <w:r>
        <w:rPr>
          <w:rFonts w:hint="eastAsia"/>
        </w:rPr>
        <w:t xml:space="preserve">fabs｜台积电、三星、英特尔、海力士、美光、中国晶圆厂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Optics, lasers, precision </w:t>
      </w:r>
      <w:r>
        <w:rPr>
          <w:rFonts w:hint="eastAsia"/>
        </w:rPr>
        <w:t xml:space="preserve">components｜光学、激光、精密部件</w:t>
      </w:r>
    </w:p>
    <w:p>
      <w:pPr>
        <w:pStyle w:val="Compact"/>
        <w:numPr>
          <w:ilvl w:val="0"/>
          <w:numId w:val="1011"/>
        </w:numPr>
      </w:pPr>
      <w:r>
        <w:t xml:space="preserve">Competitors: AMAT (e-beam), Hitachi High-Tech, Lasertec, Onto, </w:t>
      </w:r>
      <w:r>
        <w:rPr>
          <w:rFonts w:hint="eastAsia"/>
        </w:rPr>
        <w:t xml:space="preserve">Nova｜应材、日立高新、Lasertec、Onto、Nova</w:t>
      </w:r>
    </w:p>
    <w:p>
      <w:pPr>
        <w:pStyle w:val="Compact"/>
        <w:numPr>
          <w:ilvl w:val="0"/>
          <w:numId w:val="1011"/>
        </w:numPr>
      </w:pPr>
      <w:r>
        <w:t xml:space="preserve">Bottlenecks/regulation: China export controls, leading-edge capex </w:t>
      </w:r>
      <w:r>
        <w:rPr>
          <w:rFonts w:hint="eastAsia"/>
        </w:rPr>
        <w:t xml:space="preserve">cycle｜对华出口管制、先进制程Capex周期</w:t>
      </w:r>
    </w:p>
    <w:p>
      <w:pPr>
        <w:pStyle w:val="Compact"/>
        <w:numPr>
          <w:ilvl w:val="0"/>
          <w:numId w:val="1011"/>
        </w:numPr>
      </w:pPr>
      <w:r>
        <w:t xml:space="preserve">KPIs: Revenue, GM%, China mix, backlog, </w:t>
      </w:r>
      <w:r>
        <w:rPr>
          <w:rFonts w:hint="eastAsia"/>
        </w:rPr>
        <w:t xml:space="preserve">buybacks｜收入、毛利率、中国占比、积压、回购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3.7 bn USD</w:t>
            </w:r>
          </w:p>
        </w:tc>
        <w:tc>
          <w:tcPr/>
          <w:p>
            <w:pPr>
              <w:pStyle w:val="Compact"/>
            </w:pPr>
            <w:r>
              <w:t xml:space="preserve">2.2 bn USD</w:t>
            </w:r>
          </w:p>
        </w:tc>
        <w:tc>
          <w:tcPr/>
          <w:p>
            <w:pPr>
              <w:pStyle w:val="Compact"/>
            </w:pPr>
            <w:r>
              <w:t xml:space="preserve">1.6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0.8 bn USD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3.4 bn USD</w:t>
            </w:r>
          </w:p>
        </w:tc>
        <w:tc>
          <w:tcPr/>
          <w:p>
            <w:pPr>
              <w:pStyle w:val="Compact"/>
            </w:pPr>
            <w:r>
              <w:t xml:space="preserve">2.1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0.6 bn USD</w:t>
            </w:r>
          </w:p>
        </w:tc>
        <w:tc>
          <w:tcPr/>
          <w:p>
            <w:pPr>
              <w:pStyle w:val="Compact"/>
            </w:pPr>
            <w:r>
              <w:t xml:space="preserve">41.2%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3.3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41.3%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1.3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3.2 bn USD</w:t>
            </w:r>
          </w:p>
        </w:tc>
        <w:tc>
          <w:tcPr/>
          <w:p>
            <w:pPr>
              <w:pStyle w:val="Compact"/>
            </w:pPr>
            <w:r>
              <w:t xml:space="preserve">2.0 bn USD</w:t>
            </w:r>
          </w:p>
        </w:tc>
        <w:tc>
          <w:tcPr/>
          <w:p>
            <w:pPr>
              <w:pStyle w:val="Compact"/>
            </w:pPr>
            <w:r>
              <w:t xml:space="preserve">1.4 bn USD</w:t>
            </w:r>
          </w:p>
        </w:tc>
        <w:tc>
          <w:tcPr/>
          <w:p>
            <w:pPr>
              <w:pStyle w:val="Compact"/>
            </w:pPr>
            <w:r>
              <w:t xml:space="preserve">1.2 bn USD</w:t>
            </w:r>
          </w:p>
        </w:tc>
        <w:tc>
          <w:tcPr/>
          <w:p>
            <w:pPr>
              <w:pStyle w:val="Compact"/>
            </w:pPr>
            <w:r>
              <w:t xml:space="preserve">1.1 bn USD</w:t>
            </w:r>
          </w:p>
        </w:tc>
        <w:tc>
          <w:tcPr/>
          <w:p>
            <w:pPr>
              <w:pStyle w:val="Compact"/>
            </w:pPr>
            <w:r>
              <w:t xml:space="preserve">42.6%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4.9 bn USD; debt 6.2 bn USD; TTM FCF 3.8 bn USD (FCF margin 27.7%).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0.86172</w:t>
            </w:r>
          </w:p>
        </w:tc>
        <w:tc>
          <w:tcPr/>
          <w:p>
            <w:pPr>
              <w:pStyle w:val="Compact"/>
            </w:pPr>
            <w:r>
              <w:t xml:space="preserve">0.0224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0.87978</w:t>
            </w:r>
          </w:p>
        </w:tc>
        <w:tc>
          <w:tcPr/>
          <w:p>
            <w:pPr>
              <w:pStyle w:val="Compact"/>
            </w:pPr>
            <w:r>
              <w:t xml:space="preserve">0.0058999998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0.91703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0.99866</w:t>
            </w:r>
          </w:p>
        </w:tc>
        <w:tc>
          <w:tcPr/>
          <w:p>
            <w:pPr>
              <w:pStyle w:val="Compact"/>
            </w:pPr>
            <w:r>
              <w:t xml:space="preserve">0.0514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2026-10-29</w:t>
      </w:r>
      <w:r>
        <w:t xml:space="preserve">; current-quarter EPS consensus 1.17822 (22 analysts); revenue consensus 4.0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$43.80</w:t>
            </w:r>
          </w:p>
        </w:tc>
        <w:tc>
          <w:tcPr/>
          <w:p>
            <w:pPr>
              <w:pStyle w:val="Compact"/>
            </w:pPr>
            <w:r>
              <w:t xml:space="preserve">-73.6%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$89.55</w:t>
            </w:r>
          </w:p>
        </w:tc>
        <w:tc>
          <w:tcPr/>
          <w:p>
            <w:pPr>
              <w:pStyle w:val="Compact"/>
            </w:pPr>
            <w:r>
              <w:t xml:space="preserve">-46.0%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$141.68</w:t>
            </w:r>
          </w:p>
        </w:tc>
        <w:tc>
          <w:tcPr/>
          <w:p>
            <w:pPr>
              <w:pStyle w:val="Compact"/>
            </w:pPr>
            <w:r>
              <w:t xml:space="preserve">-14.5%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$42.46</w:t>
            </w:r>
          </w:p>
        </w:tc>
        <w:tc>
          <w:tcPr/>
          <w:p>
            <w:pPr>
              <w:pStyle w:val="Compact"/>
            </w:pPr>
            <w:r>
              <w:t xml:space="preserve">-74.4%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$92.96</w:t>
            </w:r>
          </w:p>
        </w:tc>
        <w:tc>
          <w:tcPr/>
          <w:p>
            <w:pPr>
              <w:pStyle w:val="Compact"/>
            </w:pPr>
            <w:r>
              <w:t xml:space="preserve">-43.9%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$153.06</w:t>
            </w:r>
          </w:p>
        </w:tc>
        <w:tc>
          <w:tcPr/>
          <w:p>
            <w:pPr>
              <w:pStyle w:val="Compact"/>
            </w:pPr>
            <w:r>
              <w:t xml:space="preserve">-7.7%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$41.16</w:t>
            </w:r>
          </w:p>
        </w:tc>
        <w:tc>
          <w:tcPr/>
          <w:p>
            <w:pPr>
              <w:pStyle w:val="Compact"/>
            </w:pPr>
            <w:r>
              <w:t xml:space="preserve">-75.2%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$96.48</w:t>
            </w:r>
          </w:p>
        </w:tc>
        <w:tc>
          <w:tcPr/>
          <w:p>
            <w:pPr>
              <w:pStyle w:val="Compact"/>
            </w:pPr>
            <w:r>
              <w:t xml:space="preserve">-41.8%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$165.26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$39.89</w:t>
            </w:r>
          </w:p>
        </w:tc>
        <w:tc>
          <w:tcPr/>
          <w:p>
            <w:pPr>
              <w:pStyle w:val="Compact"/>
            </w:pPr>
            <w:r>
              <w:t xml:space="preserve">-75.9%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$100.12</w:t>
            </w:r>
          </w:p>
        </w:tc>
        <w:tc>
          <w:tcPr/>
          <w:p>
            <w:pPr>
              <w:pStyle w:val="Compact"/>
            </w:pPr>
            <w:r>
              <w:t xml:space="preserve">-39.6%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$178.33</w:t>
            </w:r>
          </w:p>
        </w:tc>
        <w:tc>
          <w:tcPr/>
          <w:p>
            <w:pPr>
              <w:pStyle w:val="Compact"/>
            </w:pPr>
            <w:r>
              <w:t xml:space="preserve">7.6%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43.5x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39.5x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36.0x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32.7x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9.5%</w:t>
            </w:r>
          </w:p>
        </w:tc>
        <w:tc>
          <w:tcPr/>
          <w:p>
            <w:pPr>
              <w:pStyle w:val="Compact"/>
            </w:pPr>
            <w:r>
              <w:t xml:space="preserve">24.0%</w:t>
            </w:r>
          </w:p>
        </w:tc>
        <w:tc>
          <w:tcPr/>
          <w:p>
            <w:pPr>
              <w:pStyle w:val="Compact"/>
            </w:pPr>
            <w:r>
              <w:t xml:space="preserve">13.3%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$30.51</w:t>
            </w:r>
          </w:p>
        </w:tc>
        <w:tc>
          <w:tcPr/>
          <w:p>
            <w:pPr>
              <w:pStyle w:val="Compact"/>
            </w:pPr>
            <w:r>
              <w:t xml:space="preserve">-81.6%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18.9%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$61.86</w:t>
            </w:r>
          </w:p>
        </w:tc>
        <w:tc>
          <w:tcPr/>
          <w:p>
            <w:pPr>
              <w:pStyle w:val="Compact"/>
            </w:pPr>
            <w:r>
              <w:t xml:space="preserve">-62.7%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  <w:tc>
          <w:tcPr/>
          <w:p>
            <w:pPr>
              <w:pStyle w:val="Compact"/>
            </w:pPr>
            <w:r>
              <w:t xml:space="preserve">34.5%</w:t>
            </w:r>
          </w:p>
        </w:tc>
        <w:tc>
          <w:tcPr/>
          <w:p>
            <w:pPr>
              <w:pStyle w:val="Compact"/>
            </w:pPr>
            <w:r>
              <w:t xml:space="preserve">11.8%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$97.71</w:t>
            </w:r>
          </w:p>
        </w:tc>
        <w:tc>
          <w:tcPr/>
          <w:p>
            <w:pPr>
              <w:pStyle w:val="Compact"/>
            </w:pPr>
            <w:r>
              <w:t xml:space="preserve">-41.0%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$62.99</w:t>
      </w:r>
      <w:r>
        <w:t xml:space="preserve"> </w:t>
      </w:r>
      <w:r>
        <w:t xml:space="preserve">(-62.0%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82.0 bn USD; terminal share 48.0%.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46.2%</w:t>
      </w:r>
      <w:r>
        <w:t xml:space="preserve"> </w:t>
      </w:r>
      <w:r>
        <w:t xml:space="preserve">vs consensus FY+1 18.9%.</w:t>
      </w:r>
    </w:p>
    <w:p>
      <w:pPr>
        <w:pStyle w:val="Compact"/>
        <w:numPr>
          <w:ilvl w:val="0"/>
          <w:numId w:val="1013"/>
        </w:numPr>
      </w:pPr>
      <w:r>
        <w:t xml:space="preserve">WACC (CAPM) = rf 5.1% + β 1.45 × ERP 5.0% = 12.3%.</w:t>
      </w:r>
    </w:p>
    <w:p>
      <w:pPr>
        <w:pStyle w:val="Compact"/>
        <w:numPr>
          <w:ilvl w:val="0"/>
          <w:numId w:val="1013"/>
        </w:numPr>
      </w:pPr>
      <w:r>
        <w:t xml:space="preserve">SOTP segments: Semiconductor process control </w:t>
      </w:r>
      <w:r>
        <w:rPr>
          <w:rFonts w:hint="eastAsia"/>
        </w:rPr>
        <w:t xml:space="preserve">半导体过程控制;</w:t>
      </w:r>
      <w:r>
        <w:t xml:space="preserve"> Specialty semi process </w:t>
      </w:r>
      <w:r>
        <w:rPr>
          <w:rFonts w:hint="eastAsia"/>
        </w:rPr>
        <w:t xml:space="preserve">特种工艺;</w:t>
      </w:r>
      <w:r>
        <w:t xml:space="preserve"> PCB &amp; component inspection </w:t>
      </w:r>
      <w:r>
        <w:rPr>
          <w:rFonts w:hint="eastAsia"/>
        </w:rPr>
        <w:t xml:space="preserve">PCB检测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China revenue normalization, WFE </w:t>
      </w:r>
      <w:r>
        <w:rPr>
          <w:rFonts w:hint="eastAsia"/>
        </w:rPr>
        <w:t xml:space="preserve">digestion｜中国收入回落、WFE消化</w:t>
      </w:r>
      <w:r>
        <w:t xml:space="preserve"> | Falsifiers: WFE outlook cut; process-control share </w:t>
      </w:r>
      <w:r>
        <w:rPr>
          <w:rFonts w:hint="eastAsia"/>
        </w:rPr>
        <w:t xml:space="preserve">loss｜WFE展望下修；份额流失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KLAC_model_v20261017-0755.xlsx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data/snapshots/20261017-0755</w:t>
      </w:r>
      <w:r>
        <w:t xml:space="preserve"> </w:t>
      </w:r>
      <w:r>
        <w:t xml:space="preserve">(immutable) | Fetched 2026-10-17 07:55 SGT | Generated 2026-10-17 07:57 SGT</w:t>
      </w:r>
      <w:r>
        <w:t xml:space="preserve"> </w:t>
      </w:r>
      <w:r>
        <w:t xml:space="preserve">- Version: v20261017-0755.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2026-10-16T23:58:17Z</dcterms:created>
  <dcterms:modified xsi:type="dcterms:W3CDTF">2026-10-16T23:58:17Z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