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7-0755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$631.86。我们的Base模型认为每股价值约</w:t>
      </w:r>
      <w:r>
        <w:t xml:space="preserve"> </w:t>
      </w:r>
      <w:r>
        <w:rPr>
          <w:rFonts w:hint="eastAsia"/>
        </w:rPr>
        <w:t xml:space="preserve">$229（-63.7%）。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40.6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15.8%；价格隐含增速</w:t>
      </w:r>
      <w:r>
        <w:t xml:space="preserve"> 40.9%。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$103 / Base $229 / Bull </w:t>
      </w:r>
      <w:r>
        <w:rPr>
          <w:rFonts w:hint="eastAsia"/>
        </w:rPr>
        <w:t xml:space="preserve">$372；概率加权</w:t>
      </w:r>
      <w:r>
        <w:t xml:space="preserve"> $233。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9d68728e8b8dceee9ff681a99281da8bd387037"/>
    <w:p>
      <w:pPr>
        <w:pStyle w:val="Heading1"/>
      </w:pPr>
      <w:r>
        <w:t xml:space="preserve">PWR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$631.86; our Base model value ≈ $229 (-63.7%).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15.8%; m = long-run FCF margin = 6.0%; W = 11.4%.</w:t>
      </w:r>
      <w:r>
        <w:t xml:space="preserve"> </w:t>
      </w:r>
      <w:r>
        <w:t xml:space="preserve">R₁ = R₀×(1+g₁) = 38.1 bn USD; FCF₁ = 2.7 bn USD; PV = FCF₁/(1+W) = 2.4 bn USD; 10 years + terminal → EV 40.6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15.8%; price-implied growth 40.9%.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$103 / Base $229 / Bull $372; weighted $233.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2026-10-16T23:58:32Z</dcterms:created>
  <dcterms:modified xsi:type="dcterms:W3CDTF">2026-10-16T23:58:32Z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