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2a3b55aa98443d7bcc89f8859bc3999a04ff7b"/>
    <w:p>
      <w:pPr>
        <w:pStyle w:val="Heading1"/>
      </w:pPr>
      <w:r>
        <w:rPr>
          <w:rFonts w:hint="eastAsia"/>
        </w:rPr>
        <w:t xml:space="preserve">每日总览</w:t>
      </w:r>
      <w:r>
        <w:t xml:space="preserve"> Daily OS Overview — 2026-10-17 (v20261017-0755)</w:t>
      </w:r>
    </w:p>
    <w:p>
      <w:pPr>
        <w:pStyle w:val="BlockText"/>
      </w:pPr>
      <w:r>
        <w:rPr>
          <w:rFonts w:hint="eastAsia"/>
        </w:rPr>
        <w:t xml:space="preserve">非投资建议。所有数字带来源；推断已标注。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今天美国通胀(核心PCE同比</w:t>
      </w:r>
      <w:r>
        <w:t xml:space="preserve"> </w:t>
      </w:r>
      <w:r>
        <w:rPr>
          <w:rFonts w:hint="eastAsia"/>
        </w:rPr>
        <w:t xml:space="preserve">3.0%)仍高于2%目标，套息压力为</w:t>
      </w:r>
      <w:r>
        <w:t xml:space="preserve"> </w:t>
      </w:r>
      <w:r>
        <w:rPr>
          <w:rFonts w:hint="eastAsia"/>
        </w:rPr>
        <w:t xml:space="preserve">CALM，亚洲最强题材是</w:t>
      </w:r>
      <w:r>
        <w:t xml:space="preserve"> TW PCB </w:t>
      </w:r>
      <w:r>
        <w:rPr>
          <w:rFonts w:hint="eastAsia"/>
        </w:rPr>
        <w:t xml:space="preserve">印刷电路板。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通胀和利率决定高估值成长股的「折现率」；题材强弱告诉你资金正在流向哪条产业链。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接下来最重要的事件：2026-10-21</w:t>
      </w:r>
      <w:r>
        <w:t xml:space="preserve"> SPCX earnings + </w:t>
      </w:r>
      <w:r>
        <w:rPr>
          <w:rFonts w:hint="eastAsia"/>
        </w:rPr>
        <w:t xml:space="preserve">call｜财报与电话会——事件前请读对应的发布前教学版。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只读「30秒看懂」。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加读</w:t>
            </w:r>
            <w:r>
              <w:t xml:space="preserve"> A </w:t>
            </w:r>
            <w:r>
              <w:rPr>
                <w:rFonts w:hint="eastAsia"/>
              </w:rPr>
              <w:t xml:space="preserve">今日要点和</w:t>
            </w:r>
            <w:r>
              <w:t xml:space="preserve"> D </w:t>
            </w:r>
            <w:r>
              <w:rPr>
                <w:rFonts w:hint="eastAsia"/>
              </w:rPr>
              <w:t xml:space="preserve">估值快照表（看「价格隐含增速」vs「一致预期」）。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全部，并点进宏观/雷达专题与事件书。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/>
          <w:b/>
          <w:bCs/>
        </w:rPr>
        <w:t xml:space="preserve">今日思考题（反向思考）：</w:t>
      </w:r>
      <w:r>
        <w:rPr>
          <w:rFonts w:hint="eastAsia"/>
        </w:rPr>
        <w:t xml:space="preserve">今天最强的题材是</w:t>
      </w:r>
      <w:r>
        <w:t xml:space="preserve"> TW PCB </w:t>
      </w:r>
      <w:r>
        <w:rPr>
          <w:rFonts w:hint="eastAsia"/>
        </w:rPr>
        <w:t xml:space="preserve">印刷电路板。如果它明天反转，最可能的原因是什么？你会先看哪个数据？（方法见</w:t>
      </w:r>
      <w:r>
        <w:t xml:space="preserve"> </w:t>
      </w:r>
      <w:r>
        <w:rPr>
          <w:rFonts w:hint="eastAsia"/>
        </w:rPr>
        <w:t xml:space="preserve">Academy「投研思维方法」）</w:t>
      </w:r>
    </w:p>
    <w:bookmarkStart w:id="9" w:name="a.-今日要点-headlines-inference"/>
    <w:p>
      <w:pPr>
        <w:pStyle w:val="Heading2"/>
      </w:pPr>
      <w:r>
        <w:t xml:space="preserve">A. </w:t>
      </w:r>
      <w:r>
        <w:rPr>
          <w:rFonts w:hint="eastAsia"/>
        </w:rPr>
        <w:t xml:space="preserve">今日要点</w:t>
      </w:r>
      <w:r>
        <w:t xml:space="preserve"> Headlines (INFERENCE)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宏观:</w:t>
      </w:r>
      <w:r>
        <w:t xml:space="preserve"> </w:t>
      </w:r>
      <w:r>
        <w:rPr>
          <w:rFonts w:hint="eastAsia"/>
        </w:rPr>
        <w:t xml:space="preserve">核心PCE同比</w:t>
      </w:r>
      <w:r>
        <w:t xml:space="preserve"> </w:t>
      </w:r>
      <w:r>
        <w:rPr>
          <w:rFonts w:hint="eastAsia"/>
        </w:rPr>
        <w:t xml:space="preserve">+3.0%；套息压力</w:t>
      </w:r>
      <w:r>
        <w:t xml:space="preserve"> </w:t>
      </w:r>
      <w:r>
        <w:rPr>
          <w:rFonts w:hint="eastAsia"/>
        </w:rPr>
        <w:t xml:space="preserve">CALM；VIX</w:t>
      </w:r>
      <w:r>
        <w:t xml:space="preserve"> 20.0。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题材最强:</w:t>
      </w:r>
      <w:r>
        <w:t xml:space="preserve"> TW PCB </w:t>
      </w:r>
      <w:r>
        <w:rPr>
          <w:rFonts w:hint="eastAsia"/>
        </w:rPr>
        <w:t xml:space="preserve">印刷电路板,</w:t>
      </w:r>
      <w:r>
        <w:t xml:space="preserve"> TW Thermal </w:t>
      </w:r>
      <w:r>
        <w:rPr>
          <w:rFonts w:hint="eastAsia"/>
        </w:rPr>
        <w:t xml:space="preserve">散热,</w:t>
      </w:r>
      <w:r>
        <w:t xml:space="preserve"> JP Power Grid </w:t>
      </w:r>
      <w:r>
        <w:rPr>
          <w:rFonts w:hint="eastAsia"/>
        </w:rPr>
        <w:t xml:space="preserve">电网；最弱:</w:t>
      </w:r>
      <w:r>
        <w:t xml:space="preserve"> KR Memory </w:t>
      </w:r>
      <w:r>
        <w:rPr>
          <w:rFonts w:hint="eastAsia"/>
        </w:rPr>
        <w:t xml:space="preserve">存储,</w:t>
      </w:r>
      <w:r>
        <w:t xml:space="preserve"> KR Power Grid </w:t>
      </w:r>
      <w:r>
        <w:rPr>
          <w:rFonts w:hint="eastAsia"/>
        </w:rPr>
        <w:t xml:space="preserve">电网,</w:t>
      </w:r>
      <w:r>
        <w:t xml:space="preserve"> JP Memory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未来7天:</w:t>
      </w:r>
      <w:r>
        <w:t xml:space="preserve"> 2026-10-21 SPCX earnings + </w:t>
      </w:r>
      <w:r>
        <w:rPr>
          <w:rFonts w:hint="eastAsia"/>
        </w:rPr>
        <w:t xml:space="preserve">call｜财报与电话会;</w:t>
      </w:r>
      <w:r>
        <w:t xml:space="preserve"> 2026-10-22 TSLA earnings + </w:t>
      </w:r>
      <w:r>
        <w:rPr>
          <w:rFonts w:hint="eastAsia"/>
        </w:rPr>
        <w:t xml:space="preserve">call｜财报与电话会;</w:t>
      </w:r>
      <w:r>
        <w:t xml:space="preserve"> 2026-10-23 MXL earnings + </w:t>
      </w:r>
      <w:r>
        <w:rPr>
          <w:rFonts w:hint="eastAsia"/>
        </w:rPr>
        <w:t xml:space="preserve">call｜财报与电话会。</w:t>
      </w:r>
    </w:p>
    <w:bookmarkEnd w:id="9"/>
    <w:bookmarkStart w:id="10" w:name="X1517ca61403c35fa94be0d256d8dd92529c5427"/>
    <w:p>
      <w:pPr>
        <w:pStyle w:val="Heading2"/>
      </w:pPr>
      <w:r>
        <w:t xml:space="preserve">B. </w:t>
      </w:r>
      <w:r>
        <w:rPr>
          <w:rFonts w:hint="eastAsia"/>
        </w:rPr>
        <w:t xml:space="preserve">宏观/利率/汇率/流动性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Macro </w:t>
      </w:r>
      <w:r>
        <w:rPr>
          <w:rFonts w:hint="eastAsia"/>
        </w:rPr>
        <w:t xml:space="preserve">专题</w:t>
      </w:r>
      <w:r>
        <w:t xml:space="preserve"> (research/macro/v20261017-0755)</w:t>
      </w:r>
    </w:p>
    <w:bookmarkEnd w:id="10"/>
    <w:bookmarkStart w:id="11" w:name="X206f28e7e97dca3930a674e72cbcd9d69d870b7"/>
    <w:p>
      <w:pPr>
        <w:pStyle w:val="Heading2"/>
      </w:pPr>
      <w:r>
        <w:t xml:space="preserve">C. </w:t>
      </w:r>
      <w:r>
        <w:rPr>
          <w:rFonts w:hint="eastAsia"/>
        </w:rPr>
        <w:t xml:space="preserve">台日韩雷达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Radar (research/radar/v20261017-0755)</w:t>
      </w:r>
    </w:p>
    <w:bookmarkEnd w:id="11"/>
    <w:bookmarkStart w:id="12" w:name="d.-观察名单-27家-估值快照"/>
    <w:p>
      <w:pPr>
        <w:pStyle w:val="Heading2"/>
      </w:pPr>
      <w:r>
        <w:t xml:space="preserve">D. </w:t>
      </w:r>
      <w:r>
        <w:rPr>
          <w:rFonts w:hint="eastAsia"/>
        </w:rPr>
        <w:t xml:space="preserve">观察名单</w:t>
      </w:r>
      <w:r>
        <w:t xml:space="preserve"> </w:t>
      </w:r>
      <w:r>
        <w:rPr>
          <w:rFonts w:hint="eastAsia"/>
        </w:rPr>
        <w:t xml:space="preserve">27家</w:t>
      </w:r>
      <w:r>
        <w:t xml:space="preserve"> </w:t>
      </w:r>
      <w:r>
        <w:rPr>
          <w:rFonts w:hint="eastAsia"/>
        </w:rPr>
        <w:t xml:space="preserve">估值快照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Bear/Base/Bull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一致预期FY+1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下次财报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$343.46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$88/$156/$229</w:t>
            </w:r>
          </w:p>
        </w:tc>
        <w:tc>
          <w:tcPr/>
          <w:p>
            <w:pPr>
              <w:pStyle w:val="Compact"/>
            </w:pPr>
            <w:r>
              <w:t xml:space="preserve">+31.1%</w:t>
            </w:r>
          </w:p>
        </w:tc>
        <w:tc>
          <w:tcPr/>
          <w:p>
            <w:pPr>
              <w:pStyle w:val="Compact"/>
            </w:pPr>
            <w:r>
              <w:t xml:space="preserve">+10.4%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$409.29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$121/$321/$590</w:t>
            </w:r>
          </w:p>
        </w:tc>
        <w:tc>
          <w:tcPr/>
          <w:p>
            <w:pPr>
              <w:pStyle w:val="Compact"/>
            </w:pPr>
            <w:r>
              <w:t xml:space="preserve">+42.2%</w:t>
            </w:r>
          </w:p>
        </w:tc>
        <w:tc>
          <w:tcPr/>
          <w:p>
            <w:pPr>
              <w:pStyle w:val="Compact"/>
            </w:pPr>
            <w:r>
              <w:t xml:space="preserve">+35.2%</w:t>
            </w:r>
          </w:p>
        </w:tc>
        <w:tc>
          <w:tcPr/>
          <w:p>
            <w:pPr>
              <w:pStyle w:val="Compact"/>
            </w:pPr>
            <w:r>
              <w:t xml:space="preserve">2026-11-13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$528.75</w:t>
            </w:r>
          </w:p>
        </w:tc>
        <w:tc>
          <w:tcPr/>
          <w:p>
            <w:pPr>
              <w:pStyle w:val="Compact"/>
            </w:pPr>
            <w:r>
              <w:t xml:space="preserve">-6.0%</w:t>
            </w:r>
          </w:p>
        </w:tc>
        <w:tc>
          <w:tcPr/>
          <w:p>
            <w:pPr>
              <w:pStyle w:val="Compact"/>
            </w:pPr>
            <w:r>
              <w:t xml:space="preserve">$162/$768/$1,919</w:t>
            </w:r>
          </w:p>
        </w:tc>
        <w:tc>
          <w:tcPr/>
          <w:p>
            <w:pPr>
              <w:pStyle w:val="Compact"/>
            </w:pPr>
            <w:r>
              <w:t xml:space="preserve">+62.8%</w:t>
            </w:r>
          </w:p>
        </w:tc>
        <w:tc>
          <w:tcPr/>
          <w:p>
            <w:pPr>
              <w:pStyle w:val="Compact"/>
            </w:pPr>
            <w:r>
              <w:t xml:space="preserve">+74.8%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$227.80</w:t>
            </w:r>
          </w:p>
        </w:tc>
        <w:tc>
          <w:tcPr/>
          <w:p>
            <w:pPr>
              <w:pStyle w:val="Compact"/>
            </w:pPr>
            <w:r>
              <w:t xml:space="preserve">-6.9%</w:t>
            </w:r>
          </w:p>
        </w:tc>
        <w:tc>
          <w:tcPr/>
          <w:p>
            <w:pPr>
              <w:pStyle w:val="Compact"/>
            </w:pPr>
            <w:r>
              <w:t xml:space="preserve">$27/$68/$125</w:t>
            </w:r>
          </w:p>
        </w:tc>
        <w:tc>
          <w:tcPr/>
          <w:p>
            <w:pPr>
              <w:pStyle w:val="Compact"/>
            </w:pPr>
            <w:r>
              <w:t xml:space="preserve">+73.8%</w:t>
            </w:r>
          </w:p>
        </w:tc>
        <w:tc>
          <w:tcPr/>
          <w:p>
            <w:pPr>
              <w:pStyle w:val="Compact"/>
            </w:pPr>
            <w:r>
              <w:t xml:space="preserve">+36.2%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$328.75</w:t>
            </w:r>
          </w:p>
        </w:tc>
        <w:tc>
          <w:tcPr/>
          <w:p>
            <w:pPr>
              <w:pStyle w:val="Compact"/>
            </w:pPr>
            <w:r>
              <w:t xml:space="preserve">-4.5%</w:t>
            </w:r>
          </w:p>
        </w:tc>
        <w:tc>
          <w:tcPr/>
          <w:p>
            <w:pPr>
              <w:pStyle w:val="Compact"/>
            </w:pPr>
            <w:r>
              <w:t xml:space="preserve">$182/$788/$1,863</w:t>
            </w:r>
          </w:p>
        </w:tc>
        <w:tc>
          <w:tcPr/>
          <w:p>
            <w:pPr>
              <w:pStyle w:val="Compact"/>
            </w:pPr>
            <w:r>
              <w:t xml:space="preserve">+38.3%</w:t>
            </w:r>
          </w:p>
        </w:tc>
        <w:tc>
          <w:tcPr/>
          <w:p>
            <w:pPr>
              <w:pStyle w:val="Compact"/>
            </w:pPr>
            <w:r>
              <w:t xml:space="preserve">+64.2%</w:t>
            </w:r>
          </w:p>
        </w:tc>
        <w:tc>
          <w:tcPr/>
          <w:p>
            <w:pPr>
              <w:pStyle w:val="Compact"/>
            </w:pPr>
            <w:r>
              <w:t xml:space="preserve">2026-12-10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$25.90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  <w:tc>
          <w:tcPr/>
          <w:p>
            <w:pPr>
              <w:pStyle w:val="Compact"/>
            </w:pPr>
            <w:r>
              <w:t xml:space="preserve">$-3/$4/$10</w:t>
            </w:r>
          </w:p>
        </w:tc>
        <w:tc>
          <w:tcPr/>
          <w:p>
            <w:pPr>
              <w:pStyle w:val="Compact"/>
            </w:pPr>
            <w:r>
              <w:t xml:space="preserve">+22.2%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2026-12-18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$332.73</w:t>
            </w:r>
          </w:p>
        </w:tc>
        <w:tc>
          <w:tcPr/>
          <w:p>
            <w:pPr>
              <w:pStyle w:val="Compact"/>
            </w:pPr>
            <w:r>
              <w:t xml:space="preserve">-6.7%</w:t>
            </w:r>
          </w:p>
        </w:tc>
        <w:tc>
          <w:tcPr/>
          <w:p>
            <w:pPr>
              <w:pStyle w:val="Compact"/>
            </w:pPr>
            <w:r>
              <w:t xml:space="preserve">$82/$216/$395</w:t>
            </w:r>
          </w:p>
        </w:tc>
        <w:tc>
          <w:tcPr/>
          <w:p>
            <w:pPr>
              <w:pStyle w:val="Compact"/>
            </w:pPr>
            <w:r>
              <w:t xml:space="preserve">+42.9%</w:t>
            </w:r>
          </w:p>
        </w:tc>
        <w:tc>
          <w:tcPr/>
          <w:p>
            <w:pPr>
              <w:pStyle w:val="Compact"/>
            </w:pPr>
            <w:r>
              <w:t xml:space="preserve">+30.9%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$232.90</w:t>
            </w:r>
          </w:p>
        </w:tc>
        <w:tc>
          <w:tcPr/>
          <w:p>
            <w:pPr>
              <w:pStyle w:val="Compact"/>
            </w:pPr>
            <w:r>
              <w:t xml:space="preserve">-7.1%</w:t>
            </w:r>
          </w:p>
        </w:tc>
        <w:tc>
          <w:tcPr/>
          <w:p>
            <w:pPr>
              <w:pStyle w:val="Compact"/>
            </w:pPr>
            <w:r>
              <w:t xml:space="preserve">$43/$167/$345</w:t>
            </w:r>
          </w:p>
        </w:tc>
        <w:tc>
          <w:tcPr/>
          <w:p>
            <w:pPr>
              <w:pStyle w:val="Compact"/>
            </w:pPr>
            <w:r>
              <w:t xml:space="preserve">+47.6%</w:t>
            </w:r>
          </w:p>
        </w:tc>
        <w:tc>
          <w:tcPr/>
          <w:p>
            <w:pPr>
              <w:pStyle w:val="Compact"/>
            </w:pPr>
            <w:r>
              <w:t xml:space="preserve">+38.9%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$227.39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$25/$50/$81</w:t>
            </w:r>
          </w:p>
        </w:tc>
        <w:tc>
          <w:tcPr/>
          <w:p>
            <w:pPr>
              <w:pStyle w:val="Compact"/>
            </w:pPr>
            <w:r>
              <w:t xml:space="preserve">+68.4%</w:t>
            </w:r>
          </w:p>
        </w:tc>
        <w:tc>
          <w:tcPr/>
          <w:p>
            <w:pPr>
              <w:pStyle w:val="Compact"/>
            </w:pPr>
            <w:r>
              <w:t xml:space="preserve">+22.8%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$61.39</w:t>
            </w:r>
          </w:p>
        </w:tc>
        <w:tc>
          <w:tcPr/>
          <w:p>
            <w:pPr>
              <w:pStyle w:val="Compact"/>
            </w:pPr>
            <w:r>
              <w:t xml:space="preserve">-11.9%</w:t>
            </w:r>
          </w:p>
        </w:tc>
        <w:tc>
          <w:tcPr/>
          <w:p>
            <w:pPr>
              <w:pStyle w:val="Compact"/>
            </w:pPr>
            <w:r>
              <w:t xml:space="preserve">$-20/$509/$1,776</w:t>
            </w:r>
          </w:p>
        </w:tc>
        <w:tc>
          <w:tcPr/>
          <w:p>
            <w:pPr>
              <w:pStyle w:val="Compact"/>
            </w:pPr>
            <w:r>
              <w:t xml:space="preserve">+57.7%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$721.66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  <w:tc>
          <w:tcPr/>
          <w:p>
            <w:pPr>
              <w:pStyle w:val="Compact"/>
            </w:pPr>
            <w:r>
              <w:t xml:space="preserve">$274/$480/$704</w:t>
            </w:r>
          </w:p>
        </w:tc>
        <w:tc>
          <w:tcPr/>
          <w:p>
            <w:pPr>
              <w:pStyle w:val="Compact"/>
            </w:pPr>
            <w:r>
              <w:t xml:space="preserve">+21.9%</w:t>
            </w:r>
          </w:p>
        </w:tc>
        <w:tc>
          <w:tcPr/>
          <w:p>
            <w:pPr>
              <w:pStyle w:val="Compact"/>
            </w:pPr>
            <w:r>
              <w:t xml:space="preserve">+11.1%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$132.00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$28/$68/$116</w:t>
            </w:r>
          </w:p>
        </w:tc>
        <w:tc>
          <w:tcPr/>
          <w:p>
            <w:pPr>
              <w:pStyle w:val="Compact"/>
            </w:pPr>
            <w:r>
              <w:t xml:space="preserve">+36.3%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$89.85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$5/$12/$21</w:t>
            </w:r>
          </w:p>
        </w:tc>
        <w:tc>
          <w:tcPr/>
          <w:p>
            <w:pPr>
              <w:pStyle w:val="Compact"/>
            </w:pPr>
            <w:r>
              <w:t xml:space="preserve">+64.8%</w:t>
            </w:r>
          </w:p>
        </w:tc>
        <w:tc>
          <w:tcPr/>
          <w:p>
            <w:pPr>
              <w:pStyle w:val="Compact"/>
            </w:pPr>
            <w:r>
              <w:t xml:space="preserve">+15.1%</w:t>
            </w:r>
          </w:p>
        </w:tc>
        <w:tc>
          <w:tcPr/>
          <w:p>
            <w:pPr>
              <w:pStyle w:val="Compac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$165.74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$31/$62/$98</w:t>
            </w:r>
          </w:p>
        </w:tc>
        <w:tc>
          <w:tcPr/>
          <w:p>
            <w:pPr>
              <w:pStyle w:val="Compact"/>
            </w:pPr>
            <w:r>
              <w:t xml:space="preserve">+46.2%</w:t>
            </w:r>
          </w:p>
        </w:tc>
        <w:tc>
          <w:tcPr/>
          <w:p>
            <w:pPr>
              <w:pStyle w:val="Compact"/>
            </w:pPr>
            <w:r>
              <w:t xml:space="preserve">+18.9%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$824.13</w:t>
            </w:r>
          </w:p>
        </w:tc>
        <w:tc>
          <w:tcPr/>
          <w:p>
            <w:pPr>
              <w:pStyle w:val="Compact"/>
            </w:pPr>
            <w:r>
              <w:t xml:space="preserve">-5.2%</w:t>
            </w:r>
          </w:p>
        </w:tc>
        <w:tc>
          <w:tcPr/>
          <w:p>
            <w:pPr>
              <w:pStyle w:val="Compact"/>
            </w:pPr>
            <w:r>
              <w:t xml:space="preserve">$160/$594/$1,320</w:t>
            </w:r>
          </w:p>
        </w:tc>
        <w:tc>
          <w:tcPr/>
          <w:p>
            <w:pPr>
              <w:pStyle w:val="Compact"/>
            </w:pPr>
            <w:r>
              <w:t xml:space="preserve">+67.2%</w:t>
            </w:r>
          </w:p>
        </w:tc>
        <w:tc>
          <w:tcPr/>
          <w:p>
            <w:pPr>
              <w:pStyle w:val="Compact"/>
            </w:pPr>
            <w:r>
              <w:t xml:space="preserve">+57.0%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$227.83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$61/$261/$609</w:t>
            </w:r>
          </w:p>
        </w:tc>
        <w:tc>
          <w:tcPr/>
          <w:p>
            <w:pPr>
              <w:pStyle w:val="Compact"/>
            </w:pPr>
            <w:r>
              <w:t xml:space="preserve">+59.1%</w:t>
            </w:r>
          </w:p>
        </w:tc>
        <w:tc>
          <w:tcPr/>
          <w:p>
            <w:pPr>
              <w:pStyle w:val="Compact"/>
            </w:pPr>
            <w:r>
              <w:t xml:space="preserve">+63.2%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$878.84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$330/$593/$878</w:t>
            </w:r>
          </w:p>
        </w:tc>
        <w:tc>
          <w:tcPr/>
          <w:p>
            <w:pPr>
              <w:pStyle w:val="Compact"/>
            </w:pPr>
            <w:r>
              <w:t xml:space="preserve">+26.8%</w:t>
            </w:r>
          </w:p>
        </w:tc>
        <w:tc>
          <w:tcPr/>
          <w:p>
            <w:pPr>
              <w:pStyle w:val="Compact"/>
            </w:pPr>
            <w:r>
              <w:t xml:space="preserve">+15.7%</w:t>
            </w:r>
          </w:p>
        </w:tc>
        <w:tc>
          <w:tcPr/>
          <w:p>
            <w:pPr>
              <w:pStyle w:val="Compact"/>
            </w:pPr>
            <w:r>
              <w:t xml:space="preserve">2026-12-24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$71.32</w:t>
            </w:r>
          </w:p>
        </w:tc>
        <w:tc>
          <w:tcPr/>
          <w:p>
            <w:pPr>
              <w:pStyle w:val="Compact"/>
            </w:pPr>
            <w:r>
              <w:t xml:space="preserve">-8.8%</w:t>
            </w:r>
          </w:p>
        </w:tc>
        <w:tc>
          <w:tcPr/>
          <w:p>
            <w:pPr>
              <w:pStyle w:val="Compact"/>
            </w:pPr>
            <w:r>
              <w:t xml:space="preserve">$8/$23/$42</w:t>
            </w:r>
          </w:p>
        </w:tc>
        <w:tc>
          <w:tcPr/>
          <w:p>
            <w:pPr>
              <w:pStyle w:val="Compact"/>
            </w:pPr>
            <w:r>
              <w:t xml:space="preserve">+61.7%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  <w:tc>
          <w:tcPr/>
          <w:p>
            <w:pPr>
              <w:pStyle w:val="Compact"/>
            </w:pPr>
            <w:r>
              <w:t xml:space="preserve">2026-10-23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$214.13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$128/$558/$1,335</w:t>
            </w:r>
          </w:p>
        </w:tc>
        <w:tc>
          <w:tcPr/>
          <w:p>
            <w:pPr>
              <w:pStyle w:val="Compact"/>
            </w:pPr>
            <w:r>
              <w:t xml:space="preserve">+38.9%</w:t>
            </w:r>
          </w:p>
        </w:tc>
        <w:tc>
          <w:tcPr/>
          <w:p>
            <w:pPr>
              <w:pStyle w:val="Compact"/>
            </w:pPr>
            <w:r>
              <w:t xml:space="preserve">+68.2%</w:t>
            </w:r>
          </w:p>
        </w:tc>
        <w:tc>
          <w:tcPr/>
          <w:p>
            <w:pPr>
              <w:pStyle w:val="Compact"/>
            </w:pPr>
            <w:r>
              <w:t xml:space="preserve">2026-11-18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$186.03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$24/$69/$138</w:t>
            </w:r>
          </w:p>
        </w:tc>
        <w:tc>
          <w:tcPr/>
          <w:p>
            <w:pPr>
              <w:pStyle w:val="Compact"/>
            </w:pPr>
            <w:r>
              <w:t xml:space="preserve">+83.3%</w:t>
            </w:r>
          </w:p>
        </w:tc>
        <w:tc>
          <w:tcPr/>
          <w:p>
            <w:pPr>
              <w:pStyle w:val="Compact"/>
            </w:pPr>
            <w:r>
              <w:t xml:space="preserve">+50.1%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$631.86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$103/$229/$372</w:t>
            </w:r>
          </w:p>
        </w:tc>
        <w:tc>
          <w:tcPr/>
          <w:p>
            <w:pPr>
              <w:pStyle w:val="Compact"/>
            </w:pPr>
            <w:r>
              <w:t xml:space="preserve">+40.9%</w:t>
            </w:r>
          </w:p>
        </w:tc>
        <w:tc>
          <w:tcPr/>
          <w:p>
            <w:pPr>
              <w:pStyle w:val="Compact"/>
            </w:pPr>
            <w:r>
              <w:t xml:space="preserve">+15.8%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$172.11</w:t>
            </w:r>
          </w:p>
        </w:tc>
        <w:tc>
          <w:tcPr/>
          <w:p>
            <w:pPr>
              <w:pStyle w:val="Compact"/>
            </w:pPr>
            <w:r>
              <w:t xml:space="preserve">-3.5%</w:t>
            </w:r>
          </w:p>
        </w:tc>
        <w:tc>
          <w:tcPr/>
          <w:p>
            <w:pPr>
              <w:pStyle w:val="Compact"/>
            </w:pPr>
            <w:r>
              <w:t xml:space="preserve">$68/$105/$139</w:t>
            </w:r>
          </w:p>
        </w:tc>
        <w:tc>
          <w:tcPr/>
          <w:p>
            <w:pPr>
              <w:pStyle w:val="Compact"/>
            </w:pPr>
            <w:r>
              <w:t xml:space="preserve">+17.2%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$50.84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$4/$8/$14</w:t>
            </w:r>
          </w:p>
        </w:tc>
        <w:tc>
          <w:tcPr/>
          <w:p>
            <w:pPr>
              <w:pStyle w:val="Compact"/>
            </w:pPr>
            <w:r>
              <w:t xml:space="preserve">+105.0%</w:t>
            </w:r>
          </w:p>
        </w:tc>
        <w:tc>
          <w:tcPr/>
          <w:p>
            <w:pPr>
              <w:pStyle w:val="Compact"/>
            </w:pPr>
            <w:r>
              <w:t xml:space="preserve">+38.8%</w:t>
            </w:r>
          </w:p>
        </w:tc>
        <w:tc>
          <w:tcPr/>
          <w:p>
            <w:pPr>
              <w:pStyle w:val="Compact"/>
            </w:pPr>
            <w:r>
              <w:t xml:space="preserve">2026-11-10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$211.30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$60/$164/$300</w:t>
            </w:r>
          </w:p>
        </w:tc>
        <w:tc>
          <w:tcPr/>
          <w:p>
            <w:pPr>
              <w:pStyle w:val="Compact"/>
            </w:pPr>
            <w:r>
              <w:t xml:space="preserve">+36.2%</w:t>
            </w:r>
          </w:p>
        </w:tc>
        <w:tc>
          <w:tcPr/>
          <w:p>
            <w:pPr>
              <w:pStyle w:val="Compact"/>
            </w:pPr>
            <w:r>
              <w:t xml:space="preserve">+29.6%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$146.03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$20/$134/$404</w:t>
            </w:r>
          </w:p>
        </w:tc>
        <w:tc>
          <w:tcPr/>
          <w:p>
            <w:pPr>
              <w:pStyle w:val="Compact"/>
            </w:pPr>
            <w:r>
              <w:t xml:space="preserve">+103.1%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$354.72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  <w:tc>
          <w:tcPr/>
          <w:p>
            <w:pPr>
              <w:pStyle w:val="Compact"/>
            </w:pPr>
            <w:r>
              <w:t xml:space="preserve">$28/$45/$63</w:t>
            </w:r>
          </w:p>
        </w:tc>
        <w:tc>
          <w:tcPr/>
          <w:p>
            <w:pPr>
              <w:pStyle w:val="Compact"/>
            </w:pPr>
            <w:r>
              <w:t xml:space="preserve">+78.2%</w:t>
            </w:r>
          </w:p>
        </w:tc>
        <w:tc>
          <w:tcPr/>
          <w:p>
            <w:pPr>
              <w:pStyle w:val="Compact"/>
            </w:pPr>
            <w:r>
              <w:t xml:space="preserve">+13.5%</w:t>
            </w:r>
          </w:p>
        </w:tc>
        <w:tc>
          <w:tcPr/>
          <w:p>
            <w:pPr>
              <w:pStyle w:val="Compact"/>
            </w:pPr>
            <w:r>
              <w:t xml:space="preserve">2026-10-22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$412.61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$138/$373/$711</w:t>
            </w:r>
          </w:p>
        </w:tc>
        <w:tc>
          <w:tcPr/>
          <w:p>
            <w:pPr>
              <w:pStyle w:val="Compact"/>
            </w:pPr>
            <w:r>
              <w:t xml:space="preserve">+40.5%</w:t>
            </w:r>
          </w:p>
        </w:tc>
        <w:tc>
          <w:tcPr/>
          <w:p>
            <w:pPr>
              <w:pStyle w:val="Compact"/>
            </w:pPr>
            <w:r>
              <w:t xml:space="preserve">+37.5%</w:t>
            </w:r>
          </w:p>
        </w:tc>
        <w:tc>
          <w:tcPr/>
          <w:p>
            <w:pPr>
              <w:pStyle w:val="Compact"/>
            </w:pPr>
            <w:r>
              <w:t xml:space="preserve">2027-01-14</w:t>
            </w:r>
          </w:p>
        </w:tc>
      </w:tr>
    </w:tbl>
    <w:bookmarkEnd w:id="12"/>
    <w:bookmarkStart w:id="19" w:name="e.-事件生命周期状态"/>
    <w:p>
      <w:pPr>
        <w:pStyle w:val="Heading2"/>
      </w:pPr>
      <w:r>
        <w:t xml:space="preserve">E. </w:t>
      </w:r>
      <w:r>
        <w:rPr>
          <w:rFonts w:hint="eastAsia"/>
        </w:rPr>
        <w:t xml:space="preserve">事件生命周期状态</w:t>
      </w:r>
    </w:p>
    <w:p>
      <w:pPr>
        <w:pStyle w:val="Compact"/>
        <w:numPr>
          <w:ilvl w:val="0"/>
          <w:numId w:val="1003"/>
        </w:numPr>
      </w:pPr>
      <w:r>
        <w:t xml:space="preserve">US CPI 10/14:</w:t>
      </w:r>
      <w:r>
        <w:t xml:space="preserve"> </w:t>
      </w:r>
      <w:r>
        <w:rPr>
          <w:b/>
          <w:bCs/>
        </w:rPr>
        <w:t xml:space="preserve">Pre-release book ready</w:t>
      </w:r>
      <w:r>
        <w:t xml:space="preserve"> </w:t>
      </w:r>
      <w:r>
        <w:rPr>
          <w:rFonts w:hint="eastAsia"/>
        </w:rPr>
        <w:t xml:space="preserve">(events/v20261017-0755)；发布时/发布后部分待事件发生后生成。</w:t>
      </w:r>
      <w:r>
        <w:t xml:space="preserve"> </w:t>
      </w:r>
      <w:r>
        <w:t xml:space="preserve">## F. </w:t>
      </w:r>
      <w:r>
        <w:rPr>
          <w:rFonts w:hint="eastAsia"/>
        </w:rPr>
        <w:t xml:space="preserve">今日教学</w:t>
      </w:r>
      <w:r>
        <w:t xml:space="preserve"> Teaching corner</w:t>
      </w:r>
      <w:r>
        <w:t xml:space="preserve"> </w:t>
      </w:r>
      <w:r>
        <w:rPr>
          <w:rFonts w:hint="eastAsia"/>
        </w:rPr>
        <w:t xml:space="preserve">“价格隐含增速</w:t>
      </w:r>
      <w:r>
        <w:t xml:space="preserve"> &gt; </w:t>
      </w:r>
      <w:r>
        <w:rPr>
          <w:rFonts w:hint="eastAsia"/>
        </w:rPr>
        <w:t xml:space="preserve">一致预期”</w:t>
      </w:r>
      <w:r>
        <w:t xml:space="preserve"> </w:t>
      </w:r>
      <w:r>
        <w:t xml:space="preserve">= </w:t>
      </w:r>
      <w:r>
        <w:rPr>
          <w:rFonts w:hint="eastAsia"/>
        </w:rPr>
        <w:t xml:space="preserve">市场比分析师更乐观</w:t>
      </w:r>
      <w:r>
        <w:t xml:space="preserve"> → </w:t>
      </w:r>
      <w:r>
        <w:rPr>
          <w:rFonts w:hint="eastAsia"/>
        </w:rPr>
        <w:t xml:space="preserve">需要超预期才能维持股价。English:</w:t>
      </w:r>
      <w:r>
        <w:t xml:space="preserve"> price-implied growth above consensus means the stock needs beats to hold.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overs" title="" id="14" name="Picture"/>
            <a:graphic>
              <a:graphicData uri="http://schemas.openxmlformats.org/drawingml/2006/picture">
                <pic:pic>
                  <pic:nvPicPr>
                    <pic:cNvPr descr="images/daily_mover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movers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valuation" title="" id="17" name="Picture"/>
            <a:graphic>
              <a:graphicData uri="http://schemas.openxmlformats.org/drawingml/2006/picture">
                <pic:pic>
                  <pic:nvPicPr>
                    <pic:cNvPr descr="images/daily_valu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valuation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2026-10-16T23:58:59Z</dcterms:created>
  <dcterms:modified xsi:type="dcterms:W3CDTF">2026-10-16T23:58:59Z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