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ad11a12321516f8ecde356701d30cc51fb7854"/>
    <w:p>
      <w:pPr>
        <w:pStyle w:val="Heading1"/>
      </w:pPr>
      <w:r>
        <w:t xml:space="preserve">Fed Chair Warsh × IMF (Bangkok, 2026-10-16) — Post-Event Book</w:t>
      </w:r>
    </w:p>
    <w:p>
      <w:pPr>
        <w:pStyle w:val="BlockText"/>
      </w:pPr>
      <w:r>
        <w:t xml:space="preserve">v20261017-0801-post | built 2026-10-17 08:01 SGT from locked pre-event book v20261015-1805 (integrity checked, not rewritten) | Not investment advice. Quotes are from press reports (no official transcript at build time).</w:t>
      </w:r>
    </w:p>
    <w:bookmarkStart w:id="9" w:name="X22b213626e60f3c6d0198271c690fe65d11d954"/>
    <w:p>
      <w:pPr>
        <w:pStyle w:val="Heading2"/>
      </w:pPr>
      <w:r>
        <w:t xml:space="preserve">1. What he said (FACT, press-reported) → our reading</w:t>
      </w:r>
    </w:p>
    <w:p>
      <w:pPr>
        <w:pStyle w:val="Compact"/>
        <w:numPr>
          <w:ilvl w:val="0"/>
          <w:numId w:val="1001"/>
        </w:numPr>
      </w:pPr>
      <w:r>
        <w:t xml:space="preserve">“I don’t prejudge meetings. I don’t believe in saying now what I might do at the meetings that we have in the balance of this year.”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CNBC</w:t>
      </w:r>
      <w:r>
        <w:t xml:space="preserve"> </w:t>
      </w:r>
      <w:r>
        <w:t xml:space="preserve">→ neutral</w:t>
      </w:r>
    </w:p>
    <w:p>
      <w:pPr>
        <w:pStyle w:val="Compact"/>
        <w:numPr>
          <w:ilvl w:val="0"/>
          <w:numId w:val="1001"/>
        </w:numPr>
      </w:pPr>
      <w:r>
        <w:t xml:space="preserve">“It’s a new chapter at the Fed [and] we’re not in that business anymore.”</w:t>
      </w:r>
      <w:r>
        <w:t xml:space="preserve"> </w:t>
      </w:r>
      <w:r>
        <w:t xml:space="preserve">(on forward guidance) —</w:t>
      </w:r>
      <w:r>
        <w:t xml:space="preserve"> </w:t>
      </w:r>
      <w:r>
        <w:rPr>
          <w:i/>
          <w:iCs/>
        </w:rPr>
        <w:t xml:space="preserve">CNBC</w:t>
      </w:r>
      <w:r>
        <w:t xml:space="preserve"> </w:t>
      </w:r>
      <w:r>
        <w:t xml:space="preserve">→ neutral</w:t>
      </w:r>
    </w:p>
    <w:p>
      <w:pPr>
        <w:pStyle w:val="Compact"/>
        <w:numPr>
          <w:ilvl w:val="0"/>
          <w:numId w:val="1001"/>
        </w:numPr>
      </w:pPr>
      <w:r>
        <w:t xml:space="preserve">“We came to a judgement”</w:t>
      </w:r>
      <w:r>
        <w:t xml:space="preserve"> </w:t>
      </w:r>
      <w:r>
        <w:t xml:space="preserve">in September …</w:t>
      </w:r>
      <w:r>
        <w:t xml:space="preserve"> </w:t>
      </w:r>
      <w:r>
        <w:t xml:space="preserve">“the world has broadly conformed to our expectations.”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AFP</w:t>
      </w:r>
      <w:r>
        <w:t xml:space="preserve"> </w:t>
      </w:r>
      <w:r>
        <w:t xml:space="preserve">→ dovish</w:t>
      </w:r>
    </w:p>
    <w:p>
      <w:pPr>
        <w:pStyle w:val="Compact"/>
        <w:numPr>
          <w:ilvl w:val="0"/>
          <w:numId w:val="1001"/>
        </w:numPr>
      </w:pPr>
      <w:r>
        <w:t xml:space="preserve">Global tightening was</w:t>
      </w:r>
      <w:r>
        <w:t xml:space="preserve"> </w:t>
      </w:r>
      <w:r>
        <w:t xml:space="preserve">“a synchronous tightening in monetary policy in most places around the world”</w:t>
      </w:r>
      <w:r>
        <w:t xml:space="preserve">;</w:t>
      </w:r>
      <w:r>
        <w:t xml:space="preserve"> </w:t>
      </w:r>
      <w:r>
        <w:t xml:space="preserve">“no free riders”</w:t>
      </w:r>
      <w:r>
        <w:t xml:space="preserve">. —</w:t>
      </w:r>
      <w:r>
        <w:t xml:space="preserve"> </w:t>
      </w:r>
      <w:r>
        <w:rPr>
          <w:i/>
          <w:iCs/>
        </w:rPr>
        <w:t xml:space="preserve">CNBC</w:t>
      </w:r>
      <w:r>
        <w:t xml:space="preserve"> </w:t>
      </w:r>
      <w:r>
        <w:t xml:space="preserve">→ hawkish</w:t>
      </w:r>
    </w:p>
    <w:p>
      <w:pPr>
        <w:pStyle w:val="Compact"/>
        <w:numPr>
          <w:ilvl w:val="0"/>
          <w:numId w:val="1001"/>
        </w:numPr>
      </w:pPr>
      <w:r>
        <w:t xml:space="preserve">“Almost everywhere in the global economy (is) showing resilience I’m not sure I would have predicted five or six months ago.”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AFP</w:t>
      </w:r>
      <w:r>
        <w:t xml:space="preserve"> </w:t>
      </w:r>
      <w:r>
        <w:t xml:space="preserve">→ hawkish</w:t>
      </w:r>
    </w:p>
    <w:p>
      <w:pPr>
        <w:pStyle w:val="Compact"/>
        <w:numPr>
          <w:ilvl w:val="0"/>
          <w:numId w:val="1001"/>
        </w:numPr>
      </w:pPr>
      <w:r>
        <w:t xml:space="preserve">AI: optimism</w:t>
      </w:r>
      <w:r>
        <w:t xml:space="preserve"> </w:t>
      </w:r>
      <w:r>
        <w:t xml:space="preserve">“leavened by the seriousness of purpose”</w:t>
      </w:r>
      <w:r>
        <w:t xml:space="preserve">; the path will be</w:t>
      </w:r>
      <w:r>
        <w:t xml:space="preserve"> </w:t>
      </w:r>
      <w:r>
        <w:t xml:space="preserve">“very bumpy”</w:t>
      </w:r>
      <w:r>
        <w:t xml:space="preserve">; near-term demand-side inflation, longer-run positive supply shock. —</w:t>
      </w:r>
      <w:r>
        <w:t xml:space="preserve"> </w:t>
      </w:r>
      <w:r>
        <w:rPr>
          <w:i/>
          <w:iCs/>
        </w:rPr>
        <w:t xml:space="preserve">CNBC</w:t>
      </w:r>
      <w:r>
        <w:t xml:space="preserve"> </w:t>
      </w:r>
      <w:r>
        <w:t xml:space="preserve">→ neutral</w:t>
      </w:r>
    </w:p>
    <w:p>
      <w:pPr>
        <w:pStyle w:val="FirstParagraph"/>
      </w:pPr>
      <w:r>
        <w:t xml:space="preserve">Third-party: Goldman Sachs (Hatzius) note via CNBC: Warsh’s comments, alongside other FOMC participants,</w:t>
      </w:r>
      <w:r>
        <w:t xml:space="preserve"> </w:t>
      </w:r>
      <w:r>
        <w:t xml:space="preserve">“indicate that the FOMC is set to pause in October”</w:t>
      </w:r>
      <w:r>
        <w:t xml:space="preserve">; still expects a second and final hike in December. [CNBC] CME FedWatch 72.3% probability of no change at Oct 27–28 (CNBC, updated 10/16 08:36 ET). [CNBC] IMF MD Georgieva (same day): central banks should be</w:t>
      </w:r>
      <w:r>
        <w:t xml:space="preserve"> </w:t>
      </w:r>
      <w:r>
        <w:t xml:space="preserve">“laser focused on price stability”</w:t>
      </w:r>
      <w:r>
        <w:t xml:space="preserve">; IMF supports the recent tightening by the Fed, ECB and BOJ; US/German/Japanese 10Y yields recently at highest since 2002/2009/1996. [IMF]</w:t>
      </w:r>
    </w:p>
    <w:p>
      <w:pPr>
        <w:pStyle w:val="BodyText"/>
      </w:pPr>
      <w:r>
        <w:rPr>
          <w:b/>
          <w:bCs/>
        </w:rPr>
        <w:t xml:space="preserve">Locked-rule verdict: NEUTRAL.</w:t>
      </w:r>
      <w:r>
        <w:t xml:space="preserve"> </w:t>
      </w:r>
      <w:r>
        <w:t xml:space="preserve">Opening quote is the locked neutral trigger </w:t>
      </w:r>
      <w:r>
        <w:rPr>
          <w:rFonts w:hint="eastAsia"/>
        </w:rPr>
        <w:t xml:space="preserve">(「不预判」)</w:t>
      </w:r>
      <w:r>
        <w:t xml:space="preserve"> and no path guidance was given; no</w:t>
      </w:r>
      <w:r>
        <w:t xml:space="preserve"> </w:t>
      </w:r>
      <w:r>
        <w:t xml:space="preserve">‘not falling clearly/fast enough’</w:t>
      </w:r>
      <w:r>
        <w:t xml:space="preserve"> </w:t>
      </w:r>
      <w:r>
        <w:t xml:space="preserve">(hawk trigger) and no look-through-energy (dove trigger) language reported.</w:t>
      </w:r>
    </w:p>
    <w:bookmarkEnd w:id="9"/>
    <w:bookmarkStart w:id="10" w:name="market-reaction"/>
    <w:p>
      <w:pPr>
        <w:pStyle w:val="Heading2"/>
      </w:pPr>
      <w:r>
        <w:t xml:space="preserve">2. Market reaction</w:t>
      </w:r>
    </w:p>
    <w:p>
      <w:pPr>
        <w:pStyle w:val="Compact"/>
        <w:numPr>
          <w:ilvl w:val="0"/>
          <w:numId w:val="1002"/>
        </w:numPr>
      </w:pPr>
      <w:r>
        <w:t xml:space="preserve">Kalshi October 25bp hike: 0.295 before (23:29 ET) → 0.185 at 00:00 → 0.14500000000000002 at 01:00 → 0.135 at the 10/16 close. December hike ~0.775 → 0.765 (unchanged). The hike was</w:t>
      </w:r>
      <w:r>
        <w:t xml:space="preserve"> </w:t>
      </w:r>
      <w:r>
        <w:rPr>
          <w:b/>
          <w:bCs/>
        </w:rPr>
        <w:t xml:space="preserve">pushed to December, not removed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30-minute window: 2Y ≈ -2.6bp (ZT-futures estimate), USD/JPY -0.04%, NQ futures +0.33%. Buckets vs locked bands: {</w:t>
      </w:r>
      <w:r>
        <w:t xml:space="preserve">‘Oct odds </w:t>
      </w:r>
      <w:r>
        <w:rPr>
          <w:rFonts w:hint="eastAsia"/>
        </w:rPr>
        <w:t xml:space="preserve">10月概率</w:t>
      </w:r>
      <w:r>
        <w:t xml:space="preserve"> (level after)’</w:t>
      </w:r>
      <w:r>
        <w:t xml:space="preserve">:</w:t>
      </w:r>
      <w:r>
        <w:t xml:space="preserve"> </w:t>
      </w:r>
      <w:r>
        <w:t xml:space="preserve">‘dovish’</w:t>
      </w:r>
      <w:r>
        <w:t xml:space="preserve">,</w:t>
      </w:r>
      <w:r>
        <w:t xml:space="preserve"> </w:t>
      </w:r>
      <w:r>
        <w:t xml:space="preserve">‘2Y (bp, +30m)’</w:t>
      </w:r>
      <w:r>
        <w:t xml:space="preserve">:</w:t>
      </w:r>
      <w:r>
        <w:t xml:space="preserve"> </w:t>
      </w:r>
      <w:r>
        <w:t xml:space="preserve">‘neutral’</w:t>
      </w:r>
      <w:r>
        <w:t xml:space="preserve">,</w:t>
      </w:r>
      <w:r>
        <w:t xml:space="preserve"> </w:t>
      </w:r>
      <w:r>
        <w:t xml:space="preserve">‘USD/JPY (% , +30m)’</w:t>
      </w:r>
      <w:r>
        <w:t xml:space="preserve">:</w:t>
      </w:r>
      <w:r>
        <w:t xml:space="preserve"> </w:t>
      </w:r>
      <w:r>
        <w:t xml:space="preserve">‘neutral’</w:t>
      </w:r>
      <w:r>
        <w:t xml:space="preserve">,</w:t>
      </w:r>
      <w:r>
        <w:t xml:space="preserve"> </w:t>
      </w:r>
      <w:r>
        <w:t xml:space="preserve">‘NQ fut (% , +30m)’</w:t>
      </w:r>
      <w:r>
        <w:t xml:space="preserve">:</w:t>
      </w:r>
      <w:r>
        <w:t xml:space="preserve"> </w:t>
      </w:r>
      <w:r>
        <w:t xml:space="preserve">‘dovish’</w:t>
      </w:r>
      <w:r>
        <w:t xml:space="preserve">}.</w:t>
      </w:r>
    </w:p>
    <w:p>
      <w:pPr>
        <w:pStyle w:val="Compact"/>
        <w:numPr>
          <w:ilvl w:val="0"/>
          <w:numId w:val="1002"/>
        </w:numPr>
      </w:pPr>
      <w:r>
        <w:t xml:space="preserve">10/16 US cash session (context, not attributable): Nasdaq -2.15%, S&amp;P -1.09%, SOX -3.83% — AI/tech de-crowding and Brent touching $110 (AP, Yahoo Finance).</w:t>
      </w:r>
    </w:p>
    <w:bookmarkEnd w:id="10"/>
    <w:bookmarkStart w:id="11" w:name="calibration"/>
    <w:p>
      <w:pPr>
        <w:pStyle w:val="Heading2"/>
      </w:pPr>
      <w:r>
        <w:t xml:space="preserve">3. Calibration</w:t>
      </w:r>
    </w:p>
    <w:p>
      <w:pPr>
        <w:pStyle w:val="FirstParagraph"/>
      </w:pPr>
      <w:r>
        <w:t xml:space="preserve">Brier (outcome = neutral): OS 0.380 vs uniform 0.667 — better than uniform. Scored on the market’s read (dovish) it would be 0.980. Error class:</w:t>
      </w:r>
      <w:r>
        <w:t xml:space="preserve"> </w:t>
      </w:r>
      <w:r>
        <w:rPr>
          <w:b/>
          <w:bCs/>
        </w:rPr>
        <w:t xml:space="preserve">Market-Reaction</w:t>
      </w:r>
      <w:r>
        <w:t xml:space="preserve"> </w:t>
      </w:r>
      <w:r>
        <w:t xml:space="preserve">— our conditional note (</w:t>
      </w:r>
      <w:r>
        <w:t xml:space="preserve">“hot data → neutral reads hawkish”</w:t>
      </w:r>
      <w:r>
        <w:t xml:space="preserve">) failed; PPI was hot and retail strong, yet the market read neutral as a pause.</w:t>
      </w:r>
    </w:p>
    <w:bookmarkEnd w:id="11"/>
    <w:bookmarkStart w:id="12" w:name="root-cause-recalibration"/>
    <w:p>
      <w:pPr>
        <w:pStyle w:val="Heading2"/>
      </w:pPr>
      <w:r>
        <w:t xml:space="preserve">4. Root cause &amp; recalibration</w:t>
      </w:r>
    </w:p>
    <w:p>
      <w:pPr>
        <w:pStyle w:val="FirstParagraph"/>
      </w:pPr>
      <w:r>
        <w:t xml:space="preserve">Twelve days before a meeting priced ~30% for a hike, a no-guidance chair’s silence is dovish for that meeting;</w:t>
      </w:r>
      <w:r>
        <w:t xml:space="preserve"> </w:t>
      </w:r>
      <w:r>
        <w:t xml:space="preserve">“the world has conformed to our [September] expectations”</w:t>
      </w:r>
      <w:r>
        <w:t xml:space="preserve"> </w:t>
      </w:r>
      <w:r>
        <w:t xml:space="preserve">re-endorses the September path (December). Other FOMC speakers had been preparing a pause (not summarised in our pre-book — blind spot). New Observation Zone candidate; central-bank pre-books will add an</w:t>
      </w:r>
      <w:r>
        <w:t xml:space="preserve"> </w:t>
      </w:r>
      <w:r>
        <w:t xml:space="preserve">“other officials, last 2 weeks”</w:t>
      </w:r>
      <w:r>
        <w:t xml:space="preserve"> </w:t>
      </w:r>
      <w:r>
        <w:t xml:space="preserve">panel and a</w:t>
      </w:r>
      <w:r>
        <w:t xml:space="preserve"> </w:t>
      </w:r>
      <w:r>
        <w:t xml:space="preserve">“prior decision still valid”</w:t>
      </w:r>
      <w:r>
        <w:t xml:space="preserve"> </w:t>
      </w:r>
      <w:r>
        <w:t xml:space="preserve">lexicon entry.</w:t>
      </w:r>
    </w:p>
    <w:bookmarkEnd w:id="12"/>
    <w:bookmarkStart w:id="13" w:name="valuation"/>
    <w:p>
      <w:pPr>
        <w:pStyle w:val="Heading2"/>
      </w:pPr>
      <w:r>
        <w:t xml:space="preserve">5. Valuation</w:t>
      </w:r>
    </w:p>
    <w:p>
      <w:pPr>
        <w:pStyle w:val="FirstParagraph"/>
      </w:pPr>
      <w:r>
        <w:t xml:space="preserve">No material company information → no valuation revisions. Rate path shifted in timing, not in total → WACC assumptions unchanged.</w:t>
      </w:r>
    </w:p>
    <w:bookmarkEnd w:id="13"/>
    <w:bookmarkStart w:id="14" w:name="falsifier"/>
    <w:p>
      <w:pPr>
        <w:pStyle w:val="Heading2"/>
      </w:pPr>
      <w:r>
        <w:t xml:space="preserve">6. Falsifier</w:t>
      </w:r>
    </w:p>
    <w:p>
      <w:pPr>
        <w:pStyle w:val="FirstParagraph"/>
      </w:pPr>
      <w:r>
        <w:t xml:space="preserve">If the FOMC hikes on Oct 28, the market’s read (not our wording call) was wrong; this book’s</w:t>
      </w:r>
      <w:r>
        <w:t xml:space="preserve"> </w:t>
      </w:r>
      <w:r>
        <w:t xml:space="preserve">“market-mapping error”</w:t>
      </w:r>
      <w:r>
        <w:t xml:space="preserve"> </w:t>
      </w:r>
      <w:r>
        <w:t xml:space="preserve">stays INFERENCE until then.</w:t>
      </w:r>
    </w:p>
    <w:p>
      <w:pPr>
        <w:pStyle w:val="BodyText"/>
      </w:pPr>
      <w:r>
        <w:t xml:space="preserve">Source ledger, assumption register and full teaching: see the Chinese edition §8–10.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2026-10-17T00:01:31Z</dcterms:created>
  <dcterms:modified xsi:type="dcterms:W3CDTF">2026-10-17T00:01:31Z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