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69d38cf86bb629bfae83350897f260163a4babf"/>
    <w:p>
      <w:pPr>
        <w:pStyle w:val="Heading1"/>
      </w:pPr>
      <w:r>
        <w:t xml:space="preserve">US CPI Sep 2026 — Post-Event Review (English) v20261015-0800-post</w:t>
      </w:r>
    </w:p>
    <w:p>
      <w:pPr>
        <w:pStyle w:val="BlockText"/>
      </w:pPr>
      <w:r>
        <w:t xml:space="preserve">Final (close-of-day) | Locked pre-event book: v20261013-1803 (2026-10-13T18:03:00+08:00) | Data: BLS API; markets yfinance (session 2026-10-14) |</w:t>
      </w:r>
      <w:r>
        <w:t xml:space="preserve"> </w:t>
      </w:r>
      <w:r>
        <w:rPr>
          <w:b/>
          <w:bCs/>
        </w:rPr>
        <w:t xml:space="preserve">Not investment advice</w:t>
      </w:r>
    </w:p>
    <w:bookmarkStart w:id="9" w:name="actual-vs-consensus-vs-our-hypothesis"/>
    <w:p>
      <w:pPr>
        <w:pStyle w:val="Heading2"/>
      </w:pPr>
      <w:r>
        <w:t xml:space="preserve">1. Actual vs consensus vs our hypothesis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Consensus (locked)</w:t>
            </w:r>
          </w:p>
        </w:tc>
        <w:tc>
          <w:tcPr/>
          <w:p>
            <w:pPr>
              <w:pStyle w:val="Compact"/>
            </w:pPr>
            <w:r>
              <w:t xml:space="preserve">OS hypothesis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headline_mom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0.58%</w:t>
            </w:r>
          </w:p>
        </w:tc>
        <w:tc>
          <w:tcPr/>
          <w:p>
            <w:pPr>
              <w:pStyle w:val="Compact"/>
            </w:pPr>
            <w:r>
              <w:t xml:space="preserve">+0.0pp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headline_yoy</w:t>
            </w:r>
          </w:p>
        </w:tc>
        <w:tc>
          <w:tcPr/>
          <w:p>
            <w:pPr>
              <w:pStyle w:val="Compact"/>
            </w:pPr>
            <w:r>
              <w:t xml:space="preserve">3.7%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core_mom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0.22%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core_yoy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</w:tbl>
    <w:p>
      <w:pPr>
        <w:pStyle w:val="BodyText"/>
      </w:pPr>
      <w:r>
        <w:t xml:space="preserve">Classification:</w:t>
      </w:r>
      <w:r>
        <w:t xml:space="preserve"> </w:t>
      </w:r>
      <w:r>
        <w:rPr>
          <w:b/>
          <w:bCs/>
        </w:rPr>
        <w:t xml:space="preserve">HOT</w:t>
      </w:r>
      <w:r>
        <w:t xml:space="preserve">. Prior probabilities cool/in-line/hot: 25%/50%/25%.</w:t>
      </w:r>
    </w:p>
    <w:bookmarkEnd w:id="9"/>
    <w:bookmarkStart w:id="10" w:name="Xa1396d50c00f81278c3d1363c780b5bfb0b9dfd"/>
    <w:p>
      <w:pPr>
        <w:pStyle w:val="Heading2"/>
      </w:pPr>
      <w:r>
        <w:t xml:space="preserve">2. Market reaction (release-day close vs prior close)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  <w:r>
              <w:t xml:space="preserve">5.19</w:t>
            </w:r>
          </w:p>
        </w:tc>
        <w:tc>
          <w:tcPr/>
          <w:p>
            <w:pPr>
              <w:pStyle w:val="Compact"/>
            </w:pPr>
            <w:r>
              <w:t xml:space="preserve">5.22</w:t>
            </w:r>
          </w:p>
        </w:tc>
        <w:tc>
          <w:tcPr/>
          <w:p>
            <w:pPr>
              <w:pStyle w:val="Compact"/>
            </w:pPr>
            <w:r>
              <w:t xml:space="preserve">-2.7bp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S&amp;P500</w:t>
            </w:r>
          </w:p>
        </w:tc>
        <w:tc>
          <w:tcPr/>
          <w:p>
            <w:pPr>
              <w:pStyle w:val="Compact"/>
            </w:pPr>
            <w:r>
              <w:t xml:space="preserve">7,718.94</w:t>
            </w:r>
          </w:p>
        </w:tc>
        <w:tc>
          <w:tcPr/>
          <w:p>
            <w:pPr>
              <w:pStyle w:val="Compact"/>
            </w:pPr>
            <w:r>
              <w:t xml:space="preserve">7,805.45</w:t>
            </w:r>
          </w:p>
        </w:tc>
        <w:tc>
          <w:tcPr/>
          <w:p>
            <w:pPr>
              <w:pStyle w:val="Compact"/>
            </w:pPr>
            <w:r>
              <w:t xml:space="preserve">-1.11%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29,950.82</w:t>
            </w:r>
          </w:p>
        </w:tc>
        <w:tc>
          <w:tcPr/>
          <w:p>
            <w:pPr>
              <w:pStyle w:val="Compact"/>
            </w:pPr>
            <w:r>
              <w:t xml:space="preserve">30,569.48</w:t>
            </w:r>
          </w:p>
        </w:tc>
        <w:tc>
          <w:tcPr/>
          <w:p>
            <w:pPr>
              <w:pStyle w:val="Compact"/>
            </w:pPr>
            <w:r>
              <w:t xml:space="preserve">-2.02%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11,684.38</w:t>
            </w:r>
          </w:p>
        </w:tc>
        <w:tc>
          <w:tcPr/>
          <w:p>
            <w:pPr>
              <w:pStyle w:val="Compact"/>
            </w:pPr>
            <w:r>
              <w:t xml:space="preserve">12,208.79</w:t>
            </w:r>
          </w:p>
        </w:tc>
        <w:tc>
          <w:tcPr/>
          <w:p>
            <w:pPr>
              <w:pStyle w:val="Compact"/>
            </w:pPr>
            <w:r>
              <w:t xml:space="preserve">-4.30%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USDJPY</w:t>
            </w:r>
          </w:p>
        </w:tc>
        <w:tc>
          <w:tcPr/>
          <w:p>
            <w:pPr>
              <w:pStyle w:val="Compact"/>
            </w:pPr>
            <w:r>
              <w:t xml:space="preserve">158.32</w:t>
            </w:r>
          </w:p>
        </w:tc>
        <w:tc>
          <w:tcPr/>
          <w:p>
            <w:pPr>
              <w:pStyle w:val="Compact"/>
            </w:pPr>
            <w:r>
              <w:t xml:space="preserve">158.52</w:t>
            </w:r>
          </w:p>
        </w:tc>
        <w:tc>
          <w:tcPr/>
          <w:p>
            <w:pPr>
              <w:pStyle w:val="Compact"/>
            </w:pPr>
            <w:r>
              <w:t xml:space="preserve">-0.12%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16.87</w:t>
            </w:r>
          </w:p>
        </w:tc>
        <w:tc>
          <w:tcPr/>
          <w:p>
            <w:pPr>
              <w:pStyle w:val="Compact"/>
            </w:pPr>
            <w:r>
              <w:t xml:space="preserve">15.27</w:t>
            </w:r>
          </w:p>
        </w:tc>
        <w:tc>
          <w:tcPr/>
          <w:p>
            <w:pPr>
              <w:pStyle w:val="Compact"/>
            </w:pPr>
            <w:r>
              <w:t xml:space="preserve">+10.48%</w:t>
            </w:r>
          </w:p>
        </w:tc>
      </w:tr>
    </w:tbl>
    <w:p>
      <w:pPr>
        <w:pStyle w:val="BodyText"/>
      </w:pPr>
      <w:r>
        <w:t xml:space="preserve">Kalshi (public API, 2026-10-15 08:00 MYT, last trade): October-meeting hike 31% (prior day 20%; locked pre-event 20%); December-meeting hike 83%.</w:t>
      </w:r>
    </w:p>
    <w:bookmarkEnd w:id="10"/>
    <w:bookmarkStart w:id="11" w:name="rate-sensitivity-prediction-vs-actual"/>
    <w:p>
      <w:pPr>
        <w:pStyle w:val="Heading2"/>
      </w:pPr>
      <w:r>
        <w:t xml:space="preserve">3. Rate-sensitivity prediction vs actual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Sensitivity per +10bp</w:t>
            </w:r>
          </w:p>
        </w:tc>
        <w:tc>
          <w:tcPr/>
          <w:p>
            <w:pPr>
              <w:pStyle w:val="Compact"/>
            </w:pPr>
            <w:r>
              <w:t xml:space="preserve">Predicted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-2.59%</w:t>
            </w:r>
          </w:p>
        </w:tc>
        <w:tc>
          <w:tcPr/>
          <w:p>
            <w:pPr>
              <w:pStyle w:val="Compact"/>
            </w:pPr>
            <w:r>
              <w:t xml:space="preserve">+0.70%</w:t>
            </w:r>
          </w:p>
        </w:tc>
        <w:tc>
          <w:tcPr/>
          <w:p>
            <w:pPr>
              <w:pStyle w:val="Compact"/>
            </w:pPr>
            <w:r>
              <w:t xml:space="preserve">+0.94%</w:t>
            </w:r>
          </w:p>
        </w:tc>
        <w:tc>
          <w:tcPr/>
          <w:p>
            <w:pPr>
              <w:pStyle w:val="Compact"/>
            </w:pPr>
            <w:r>
              <w:t xml:space="preserve">+0.24pp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-2.56%</w:t>
            </w:r>
          </w:p>
        </w:tc>
        <w:tc>
          <w:tcPr/>
          <w:p>
            <w:pPr>
              <w:pStyle w:val="Compact"/>
            </w:pPr>
            <w:r>
              <w:t xml:space="preserve">+0.69%</w:t>
            </w:r>
          </w:p>
        </w:tc>
        <w:tc>
          <w:tcPr/>
          <w:p>
            <w:pPr>
              <w:pStyle w:val="Compact"/>
            </w:pPr>
            <w:r>
              <w:t xml:space="preserve">+0.06%</w:t>
            </w:r>
          </w:p>
        </w:tc>
        <w:tc>
          <w:tcPr/>
          <w:p>
            <w:pPr>
              <w:pStyle w:val="Compact"/>
            </w:pPr>
            <w:r>
              <w:t xml:space="preserve">-0.63pp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-2.56%</w:t>
            </w:r>
          </w:p>
        </w:tc>
        <w:tc>
          <w:tcPr/>
          <w:p>
            <w:pPr>
              <w:pStyle w:val="Compact"/>
            </w:pPr>
            <w:r>
              <w:t xml:space="preserve">+0.69%</w:t>
            </w:r>
          </w:p>
        </w:tc>
        <w:tc>
          <w:tcPr/>
          <w:p>
            <w:pPr>
              <w:pStyle w:val="Compact"/>
            </w:pPr>
            <w:r>
              <w:t xml:space="preserve">-4.21%</w:t>
            </w:r>
          </w:p>
        </w:tc>
        <w:tc>
          <w:tcPr/>
          <w:p>
            <w:pPr>
              <w:pStyle w:val="Compact"/>
            </w:pPr>
            <w:r>
              <w:t xml:space="preserve">-4.90pp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-1.84%</w:t>
            </w:r>
          </w:p>
        </w:tc>
        <w:tc>
          <w:tcPr/>
          <w:p>
            <w:pPr>
              <w:pStyle w:val="Compact"/>
            </w:pPr>
            <w:r>
              <w:t xml:space="preserve">+0.50%</w:t>
            </w:r>
          </w:p>
        </w:tc>
        <w:tc>
          <w:tcPr/>
          <w:p>
            <w:pPr>
              <w:pStyle w:val="Compact"/>
            </w:pPr>
            <w:r>
              <w:t xml:space="preserve">+1.08%</w:t>
            </w:r>
          </w:p>
        </w:tc>
        <w:tc>
          <w:tcPr/>
          <w:p>
            <w:pPr>
              <w:pStyle w:val="Compact"/>
            </w:pPr>
            <w:r>
              <w:t xml:space="preserve">+0.58pp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-1.77%</w:t>
            </w:r>
          </w:p>
        </w:tc>
        <w:tc>
          <w:tcPr/>
          <w:p>
            <w:pPr>
              <w:pStyle w:val="Compact"/>
            </w:pPr>
            <w:r>
              <w:t xml:space="preserve">+0.48%</w:t>
            </w:r>
          </w:p>
        </w:tc>
        <w:tc>
          <w:tcPr/>
          <w:p>
            <w:pPr>
              <w:pStyle w:val="Compact"/>
            </w:pPr>
            <w:r>
              <w:t xml:space="preserve">-2.27%</w:t>
            </w:r>
          </w:p>
        </w:tc>
        <w:tc>
          <w:tcPr/>
          <w:p>
            <w:pPr>
              <w:pStyle w:val="Compact"/>
            </w:pPr>
            <w:r>
              <w:t xml:space="preserve">-2.75pp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+0.41%</w:t>
            </w:r>
          </w:p>
        </w:tc>
        <w:tc>
          <w:tcPr/>
          <w:p>
            <w:pPr>
              <w:pStyle w:val="Compact"/>
            </w:pPr>
            <w:r>
              <w:t xml:space="preserve">+1.44%</w:t>
            </w:r>
          </w:p>
        </w:tc>
        <w:tc>
          <w:tcPr/>
          <w:p>
            <w:pPr>
              <w:pStyle w:val="Compact"/>
            </w:pPr>
            <w:r>
              <w:t xml:space="preserve">+1.03pp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-1.49%</w:t>
            </w:r>
          </w:p>
        </w:tc>
        <w:tc>
          <w:tcPr/>
          <w:p>
            <w:pPr>
              <w:pStyle w:val="Compact"/>
            </w:pPr>
            <w:r>
              <w:t xml:space="preserve">+0.40%</w:t>
            </w:r>
          </w:p>
        </w:tc>
        <w:tc>
          <w:tcPr/>
          <w:p>
            <w:pPr>
              <w:pStyle w:val="Compact"/>
            </w:pPr>
            <w:r>
              <w:t xml:space="preserve">+0.86%</w:t>
            </w:r>
          </w:p>
        </w:tc>
        <w:tc>
          <w:tcPr/>
          <w:p>
            <w:pPr>
              <w:pStyle w:val="Compact"/>
            </w:pPr>
            <w:r>
              <w:t xml:space="preserve">+0.45pp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-1.21%</w:t>
            </w:r>
          </w:p>
        </w:tc>
        <w:tc>
          <w:tcPr/>
          <w:p>
            <w:pPr>
              <w:pStyle w:val="Compact"/>
            </w:pPr>
            <w:r>
              <w:t xml:space="preserve">+0.33%</w:t>
            </w:r>
          </w:p>
        </w:tc>
        <w:tc>
          <w:tcPr/>
          <w:p>
            <w:pPr>
              <w:pStyle w:val="Compact"/>
            </w:pPr>
            <w:r>
              <w:t xml:space="preserve">-3.22%</w:t>
            </w:r>
          </w:p>
        </w:tc>
        <w:tc>
          <w:tcPr/>
          <w:p>
            <w:pPr>
              <w:pStyle w:val="Compact"/>
            </w:pPr>
            <w:r>
              <w:t xml:space="preserve">-3.55pp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-1.18%</w:t>
            </w:r>
          </w:p>
        </w:tc>
        <w:tc>
          <w:tcPr/>
          <w:p>
            <w:pPr>
              <w:pStyle w:val="Compact"/>
            </w:pPr>
            <w:r>
              <w:t xml:space="preserve">+0.32%</w:t>
            </w:r>
          </w:p>
        </w:tc>
        <w:tc>
          <w:tcPr/>
          <w:p>
            <w:pPr>
              <w:pStyle w:val="Compact"/>
            </w:pPr>
            <w:r>
              <w:t xml:space="preserve">-1.14%</w:t>
            </w:r>
          </w:p>
        </w:tc>
        <w:tc>
          <w:tcPr/>
          <w:p>
            <w:pPr>
              <w:pStyle w:val="Compact"/>
            </w:pPr>
            <w:r>
              <w:t xml:space="preserve">-1.46pp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-1.16%</w:t>
            </w:r>
          </w:p>
        </w:tc>
        <w:tc>
          <w:tcPr/>
          <w:p>
            <w:pPr>
              <w:pStyle w:val="Compact"/>
            </w:pPr>
            <w:r>
              <w:t xml:space="preserve">+0.31%</w:t>
            </w:r>
          </w:p>
        </w:tc>
        <w:tc>
          <w:tcPr/>
          <w:p>
            <w:pPr>
              <w:pStyle w:val="Compact"/>
            </w:pPr>
            <w:r>
              <w:t xml:space="preserve">+1.39%</w:t>
            </w:r>
          </w:p>
        </w:tc>
        <w:tc>
          <w:tcPr/>
          <w:p>
            <w:pPr>
              <w:pStyle w:val="Compact"/>
            </w:pPr>
            <w:r>
              <w:t xml:space="preserve">+1.08pp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-1.05%</w:t>
            </w:r>
          </w:p>
        </w:tc>
        <w:tc>
          <w:tcPr/>
          <w:p>
            <w:pPr>
              <w:pStyle w:val="Compact"/>
            </w:pPr>
            <w:r>
              <w:t xml:space="preserve">+0.28%</w:t>
            </w:r>
          </w:p>
        </w:tc>
        <w:tc>
          <w:tcPr/>
          <w:p>
            <w:pPr>
              <w:pStyle w:val="Compact"/>
            </w:pPr>
            <w:r>
              <w:t xml:space="preserve">+1.90%</w:t>
            </w:r>
          </w:p>
        </w:tc>
        <w:tc>
          <w:tcPr/>
          <w:p>
            <w:pPr>
              <w:pStyle w:val="Compact"/>
            </w:pPr>
            <w:r>
              <w:t xml:space="preserve">+1.62pp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-0.67%</w:t>
            </w:r>
          </w:p>
        </w:tc>
        <w:tc>
          <w:tcPr/>
          <w:p>
            <w:pPr>
              <w:pStyle w:val="Compact"/>
            </w:pPr>
            <w:r>
              <w:t xml:space="preserve">+0.18%</w:t>
            </w:r>
          </w:p>
        </w:tc>
        <w:tc>
          <w:tcPr/>
          <w:p>
            <w:pPr>
              <w:pStyle w:val="Compact"/>
            </w:pPr>
            <w:r>
              <w:t xml:space="preserve">-2.02%</w:t>
            </w:r>
          </w:p>
        </w:tc>
        <w:tc>
          <w:tcPr/>
          <w:p>
            <w:pPr>
              <w:pStyle w:val="Compact"/>
            </w:pPr>
            <w:r>
              <w:t xml:space="preserve">-2.20pp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-0.89%</w:t>
            </w:r>
          </w:p>
        </w:tc>
        <w:tc>
          <w:tcPr/>
          <w:p>
            <w:pPr>
              <w:pStyle w:val="Compact"/>
            </w:pPr>
            <w:r>
              <w:t xml:space="preserve">+0.24%</w:t>
            </w:r>
          </w:p>
        </w:tc>
        <w:tc>
          <w:tcPr/>
          <w:p>
            <w:pPr>
              <w:pStyle w:val="Compact"/>
            </w:pPr>
            <w:r>
              <w:t xml:space="preserve">-4.30%</w:t>
            </w:r>
          </w:p>
        </w:tc>
        <w:tc>
          <w:tcPr/>
          <w:p>
            <w:pPr>
              <w:pStyle w:val="Compact"/>
            </w:pPr>
            <w:r>
              <w:t xml:space="preserve">-4.54pp</w:t>
            </w:r>
          </w:p>
        </w:tc>
      </w:tr>
    </w:tbl>
    <w:bookmarkEnd w:id="11"/>
    <w:bookmarkStart w:id="12" w:name="probability-calibration-vs-base-rate"/>
    <w:p>
      <w:pPr>
        <w:pStyle w:val="Heading2"/>
      </w:pPr>
      <w:r>
        <w:t xml:space="preserve">4. Probability calibration vs base rate</w:t>
      </w:r>
    </w:p>
    <w:p>
      <w:pPr>
        <w:pStyle w:val="FirstParagraph"/>
      </w:pPr>
      <w:r>
        <w:t xml:space="preserve">Rule: when our/consensus probability differs from the base rate by &gt;20pp, shrink toward the base rate by ≥50%.</w:t>
      </w:r>
      <w:r>
        <w:t xml:space="preserve"> </w:t>
      </w:r>
      <w:r>
        <w:t xml:space="preserve">| Scenario | Prior | Base rate (36m core m/m) | Calibrated | Outcome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cool | 25% | 14% | 22% | |</w:t>
      </w:r>
      <w:r>
        <w:t xml:space="preserve"> </w:t>
      </w:r>
      <w:r>
        <w:t xml:space="preserve">| inline | 50% | 33% | 44% | |</w:t>
      </w:r>
      <w:r>
        <w:t xml:space="preserve"> </w:t>
      </w:r>
      <w:r>
        <w:t xml:space="preserve">| hot | 25% | 53% | 34% | ✔ |</w:t>
      </w:r>
    </w:p>
    <w:bookmarkEnd w:id="12"/>
    <w:bookmarkStart w:id="13" w:name="source-ledger"/>
    <w:p>
      <w:pPr>
        <w:pStyle w:val="Heading2"/>
      </w:pPr>
      <w:r>
        <w:t xml:space="preserve">5. Source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 </w:t>
            </w:r>
            <w:r>
              <w:rPr>
                <w:rFonts w:hint="eastAsia"/>
              </w:rPr>
              <w:t xml:space="preserve">实际（核心/整体</w:t>
            </w:r>
            <w:r>
              <w:t xml:space="preserve"> </w:t>
            </w:r>
            <w:r>
              <w:rPr>
                <w:rFonts w:hint="eastAsia"/>
              </w:rPr>
              <w:t xml:space="preserve">环比、同比）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‘headline_mom’</w:t>
            </w:r>
            <w:r>
              <w:t xml:space="preserve">: 0.6,</w:t>
            </w:r>
            <w:r>
              <w:t xml:space="preserve"> </w:t>
            </w:r>
            <w:r>
              <w:t xml:space="preserve">‘headline_yoy’</w:t>
            </w:r>
            <w:r>
              <w:t xml:space="preserve">: 3.7,</w:t>
            </w:r>
            <w:r>
              <w:t xml:space="preserve"> </w:t>
            </w:r>
            <w:r>
              <w:t xml:space="preserve">‘core_mom’</w:t>
            </w:r>
            <w:r>
              <w:t xml:space="preserve">: 0.3,</w:t>
            </w:r>
            <w:r>
              <w:t xml:space="preserve"> </w:t>
            </w:r>
            <w:r>
              <w:t xml:space="preserve">‘core_yoy’</w:t>
            </w:r>
            <w:r>
              <w:t xml:space="preserve">: 2.6}</w:t>
            </w:r>
          </w:p>
        </w:tc>
        <w:tc>
          <w:tcPr/>
          <w:p>
            <w:pPr>
              <w:pStyle w:val="Compact"/>
            </w:pPr>
            <w:r>
              <w:t xml:space="preserve">BLS </w:t>
            </w:r>
            <w:r>
              <w:rPr>
                <w:rFonts w:hint="eastAsia"/>
              </w:rPr>
              <w:t xml:space="preserve">API（SA</w:t>
            </w:r>
            <w:r>
              <w:t xml:space="preserve"> </w:t>
            </w:r>
            <w:r>
              <w:rPr>
                <w:rFonts w:hint="eastAsia"/>
              </w:rPr>
              <w:t xml:space="preserve">算环比，NSA</w:t>
            </w:r>
            <w:r>
              <w:t xml:space="preserve"> </w:t>
            </w:r>
            <w:r>
              <w:rPr>
                <w:rFonts w:hint="eastAsia"/>
              </w:rPr>
              <w:t xml:space="preserve">算同比）</w:t>
            </w:r>
          </w:p>
        </w:tc>
        <w:tc>
          <w:tcPr/>
          <w:p>
            <w:pPr>
              <w:pStyle w:val="Compact"/>
            </w:pPr>
            <w:r>
              <w:t xml:space="preserve">2026-10-14 20:30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核心环比</w:t>
            </w:r>
            <w:r>
              <w:t xml:space="preserve"> </w:t>
            </w:r>
            <w:r>
              <w:rPr>
                <w:rFonts w:hint="eastAsia"/>
              </w:rPr>
              <w:t xml:space="preserve">0.2%、同比</w:t>
            </w:r>
            <w:r>
              <w:t xml:space="preserve"> 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事前书</w:t>
            </w:r>
            <w:r>
              <w:t xml:space="preserve"> </w:t>
            </w:r>
            <w:r>
              <w:rPr>
                <w:rFonts w:hint="eastAsia"/>
              </w:rPr>
              <w:t xml:space="preserve">v20261013-1803（锁定）</w:t>
            </w:r>
          </w:p>
        </w:tc>
        <w:tc>
          <w:tcPr/>
          <w:p>
            <w:pPr>
              <w:pStyle w:val="Compact"/>
            </w:pPr>
            <w:r>
              <w:t xml:space="preserve">2026-10-13T18:03:00+08:00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变动</w:t>
            </w:r>
          </w:p>
        </w:tc>
        <w:tc>
          <w:tcPr/>
          <w:p>
            <w:pPr>
              <w:pStyle w:val="Compact"/>
            </w:pPr>
            <w:r>
              <w:t xml:space="preserve">-2.7bp</w:t>
            </w:r>
          </w:p>
        </w:tc>
        <w:tc>
          <w:tcPr/>
          <w:p>
            <w:pPr>
              <w:pStyle w:val="Compact"/>
            </w:pPr>
            <w:r>
              <w:t xml:space="preserve">yfinance ^TNX</w:t>
            </w:r>
          </w:p>
        </w:tc>
        <w:tc>
          <w:tcPr/>
          <w:p>
            <w:pPr>
              <w:pStyle w:val="Compact"/>
            </w:pPr>
            <w:r>
              <w:t xml:space="preserve">2026-10-14 </w:t>
            </w:r>
            <w:r>
              <w:rPr>
                <w:rFonts w:hint="eastAsia"/>
              </w:rPr>
              <w:t xml:space="preserve">收盘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 10 </w:t>
            </w:r>
            <w:r>
              <w:rPr>
                <w:rFonts w:hint="eastAsia"/>
              </w:rPr>
              <w:t xml:space="preserve">月加息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公开</w:t>
            </w:r>
            <w:r>
              <w:t xml:space="preserve"> API KXFEDDECISION-26OCT</w:t>
            </w:r>
          </w:p>
        </w:tc>
        <w:tc>
          <w:tcPr/>
          <w:p>
            <w:pPr>
              <w:pStyle w:val="Compact"/>
            </w:pPr>
            <w:r>
              <w:t xml:space="preserve">2026-10-15 08:00 MYT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 12 </w:t>
            </w:r>
            <w:r>
              <w:rPr>
                <w:rFonts w:hint="eastAsia"/>
              </w:rPr>
              <w:t xml:space="preserve">月会议加息</w:t>
            </w:r>
          </w:p>
        </w:tc>
        <w:tc>
          <w:tcPr/>
          <w:p>
            <w:pPr>
              <w:pStyle w:val="Compact"/>
            </w:pPr>
            <w:r>
              <w:t xml:space="preserve">0.8300000000000001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公开</w:t>
            </w:r>
            <w:r>
              <w:t xml:space="preserve"> API KXFEDDECISION-26DEC</w:t>
            </w:r>
          </w:p>
        </w:tc>
        <w:tc>
          <w:tcPr/>
          <w:p>
            <w:pPr>
              <w:pStyle w:val="Compact"/>
            </w:pPr>
            <w:r>
              <w:t xml:space="preserve">2026-10-15 08:00 MYT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利率敏感度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事前书</w:t>
            </w:r>
            <w:r>
              <w:t xml:space="preserve"> </w:t>
            </w:r>
            <w:r>
              <w:rPr>
                <w:rFonts w:hint="eastAsia"/>
              </w:rPr>
              <w:t xml:space="preserve">§利率敏感度（过去一年回归，R²</w:t>
            </w:r>
            <w:r>
              <w:t xml:space="preserve"> </w:t>
            </w:r>
            <w:r>
              <w:rPr>
                <w:rFonts w:hint="eastAsia"/>
              </w:rPr>
              <w:t xml:space="preserve">低）</w:t>
            </w:r>
          </w:p>
        </w:tc>
        <w:tc>
          <w:tcPr/>
          <w:p>
            <w:pPr>
              <w:pStyle w:val="Compact"/>
            </w:pPr>
            <w:r>
              <w:t xml:space="preserve">2026-10-13T18:03:00+08:00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偏冷/符合/偏热</w:t>
            </w:r>
            <w:r>
              <w:t xml:space="preserve"> 14%/33%/53%</w:t>
            </w:r>
          </w:p>
        </w:tc>
        <w:tc>
          <w:tcPr/>
          <w:p>
            <w:pPr>
              <w:pStyle w:val="Compact"/>
            </w:pPr>
            <w:r>
              <w:t xml:space="preserve">FRED CPILFESL </w:t>
            </w:r>
            <w:r>
              <w:rPr>
                <w:rFonts w:hint="eastAsia"/>
              </w:rPr>
              <w:t xml:space="preserve">过去</w:t>
            </w:r>
            <w:r>
              <w:t xml:space="preserve"> 36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个股/指数涨跌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</w:tbl>
    <w:bookmarkEnd w:id="13"/>
    <w:bookmarkStart w:id="14" w:name="assumption-register"/>
    <w:p>
      <w:pPr>
        <w:pStyle w:val="Heading2"/>
      </w:pPr>
      <w:r>
        <w:t xml:space="preserve">6. Assumption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Test / failure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偏热阈值：核心环比</w:t>
            </w:r>
            <w:r>
              <w:t xml:space="preserve"> ≥0.25% </w:t>
            </w:r>
            <w:r>
              <w:rPr>
                <w:rFonts w:hint="eastAsia"/>
              </w:rPr>
              <w:t xml:space="preserve">或意外</w:t>
            </w:r>
            <w:r>
              <w:t xml:space="preserve"> ≥+0.1pp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若市场对</w:t>
            </w:r>
            <w:r>
              <w:t xml:space="preserve"> 0.25% </w:t>
            </w:r>
            <w:r>
              <w:rPr>
                <w:rFonts w:hint="eastAsia"/>
              </w:rPr>
              <w:t xml:space="preserve">无反应，阈值需上调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利率敏感度在事件日仍成立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  <w:r>
              <w:t xml:space="preserve"> MAE &gt; 1.5pp </w:t>
            </w:r>
            <w:r>
              <w:rPr>
                <w:rFonts w:hint="eastAsia"/>
              </w:rPr>
              <w:t xml:space="preserve">视为失效（Excel</w:t>
            </w:r>
            <w:r>
              <w:t xml:space="preserve"> </w:t>
            </w:r>
            <w:r>
              <w:rPr>
                <w:rFonts w:hint="eastAsia"/>
              </w:rPr>
              <w:t xml:space="preserve">Sensitivity!MAE）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最新成交价≈市场概率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成交稀薄/价差</w:t>
            </w:r>
            <w:r>
              <w:t xml:space="preserve"> &gt;5c </w:t>
            </w:r>
            <w:r>
              <w:rPr>
                <w:rFonts w:hint="eastAsia"/>
              </w:rPr>
              <w:t xml:space="preserve">时不可靠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个月基础概率代表当前通胀体制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若体制切换（如连续加息周期），基础概率需重算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概率校准规则：差</w:t>
            </w:r>
            <w:r>
              <w:t xml:space="preserve"> &gt;20pp </w:t>
            </w:r>
            <w:r>
              <w:rPr>
                <w:rFonts w:hint="eastAsia"/>
              </w:rPr>
              <w:t xml:space="preserve">收缩</w:t>
            </w:r>
            <w:r>
              <w:t xml:space="preserve"> ≥50%</w:t>
            </w:r>
          </w:p>
        </w:tc>
        <w:tc>
          <w:tcPr/>
          <w:p>
            <w:pPr>
              <w:pStyle w:val="Compact"/>
            </w:pPr>
            <w:r>
              <w:t xml:space="preserve">RULE (master prompt v2026-10-14)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</w:t>
            </w:r>
            <w:r>
              <w:t xml:space="preserve"> Brier </w:t>
            </w:r>
            <w:r>
              <w:rPr>
                <w:rFonts w:hint="eastAsia"/>
              </w:rPr>
              <w:t xml:space="preserve">若校准后更差则复核规则</w:t>
            </w:r>
          </w:p>
        </w:tc>
      </w:tr>
    </w:tbl>
    <w:bookmarkEnd w:id="14"/>
    <w:bookmarkStart w:id="15" w:name="chain-post-mortem"/>
    <w:p>
      <w:pPr>
        <w:pStyle w:val="Heading2"/>
      </w:pPr>
      <w:r>
        <w:t xml:space="preserve">7. Chain post-mortem</w:t>
      </w:r>
    </w:p>
    <w:p>
      <w:pPr>
        <w:pStyle w:val="FirstParagraph"/>
      </w:pPr>
      <w:r>
        <w:t xml:space="preserve">The detailed link-by-link reasoning review is in the Chinese edition (§4). Summary: core surprise +0.1pp, 10Y -2.7bp.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2026-10-15T00:00:46Z</dcterms:created>
  <dcterms:modified xsi:type="dcterms:W3CDTF">2026-10-15T00:00:46Z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