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2"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p>
      <w:r>
        <w:pict>
          <v:rect style="width:0;height:1.5pt" o:hralign="center" o:hrstd="t" o:hr="t"/>
        </w:pict>
      </w:r>
    </w:p>
    <w:bookmarkEnd w:id="30"/>
    <w:bookmarkStart w:id="31" w:name="X89789413c26913a6e6c7be4420bafda836810cc"/>
    <w:p>
      <w:pPr>
        <w:pStyle w:val="Heading2"/>
      </w:pPr>
      <w:r>
        <w:t xml:space="preserve">PART F — PROBABILITY CALIBRATION &amp; POST-EVENT COMPLETENESS (added v2026-10-14)</w:t>
      </w:r>
    </w:p>
    <w:p>
      <w:pPr>
        <w:pStyle w:val="FirstParagraph"/>
      </w:pPr>
      <w:r>
        <w:rPr>
          <w:b/>
          <w:bCs/>
        </w:rPr>
        <w:t xml:space="preserve">Calibration rule:</w:t>
      </w:r>
      <w:r>
        <w:t xml:space="preserve"> </w:t>
      </w:r>
      <w:r>
        <w:t xml:space="preserve">whenever a scenario probability — ours, consensus-implied or market-implied — differs from the historical base rate by</w:t>
      </w:r>
      <w:r>
        <w:t xml:space="preserve"> </w:t>
      </w:r>
      <w:r>
        <w:rPr>
          <w:b/>
          <w:bCs/>
        </w:rPr>
        <w:t xml:space="preserve">more than 20 percentage points</w:t>
      </w:r>
      <w:r>
        <w:t xml:space="preserve">, shrink it toward the base rate by</w:t>
      </w:r>
      <w:r>
        <w:t xml:space="preserve"> </w:t>
      </w:r>
      <w:r>
        <w:rPr>
          <w:b/>
          <w:bCs/>
        </w:rPr>
        <w:t xml:space="preserve">at least 50%</w:t>
      </w:r>
      <w:r>
        <w:t xml:space="preserve">, then renormalise to 100%. Show raw probability, base rate (with source, window and bucket thresholds), gap and calibrated probability side by side. If no base rate is available, say so explicitly and do not invent one. Implemented in</w:t>
      </w:r>
      <w:r>
        <w:t xml:space="preserve"> </w:t>
      </w:r>
      <w:r>
        <w:rPr>
          <w:rStyle w:val="VerbatimChar"/>
        </w:rPr>
        <w:t xml:space="preserve">pipeline/calibration.py</w:t>
      </w:r>
      <w:r>
        <w:t xml:space="preserve"> </w:t>
      </w:r>
      <w:r>
        <w:t xml:space="preserve">(pre-event builders) and the post-event Excel (Calibration sheet, live formulas).</w:t>
      </w:r>
      <w:r>
        <w:t xml:space="preserve"> </w:t>
      </w:r>
      <w:r>
        <w:rPr>
          <w:b/>
          <w:bCs/>
        </w:rPr>
        <w:t xml:space="preserve">Post-event books must always contain:</w:t>
      </w:r>
      <w:r>
        <w:t xml:space="preserve"> </w:t>
      </w:r>
      <w:r>
        <w:t xml:space="preserve">ZH + EN editions; an Excel model with live formulas (surprise calc, classification, scenario scoring incl. Brier/log score, probability calibration vs base rate, rate-sensitivity predicted vs actual with MAE); Source Ledger; Assumption Register; post-event prediction-market values fetched from the source (e.g. Kalshi public API) with timestamp — never</w:t>
      </w:r>
      <w:r>
        <w:t xml:space="preserve"> </w:t>
      </w:r>
      <w:r>
        <w:t xml:space="preserve">“PENDING”</w:t>
      </w:r>
      <w:r>
        <w:t xml:space="preserve"> </w:t>
      </w:r>
      <w:r>
        <w:t xml:space="preserve">if the source is reachable.</w:t>
      </w:r>
      <w:r>
        <w:t xml:space="preserve"> </w:t>
      </w:r>
      <w:r>
        <w:rPr>
          <w:b/>
          <w:bCs/>
        </w:rPr>
        <w:t xml:space="preserve">Timing:</w:t>
      </w:r>
      <w:r>
        <w:t xml:space="preserve"> </w:t>
      </w:r>
      <w:r>
        <w:t xml:space="preserve">a post book built during the release-day session is labelled INTRADAY; the next daily run must verify the close-of-day reaction and publish a close version (</w:t>
      </w:r>
      <w:r>
        <w:rPr>
          <w:rStyle w:val="VerbatimChar"/>
        </w:rPr>
        <w:t xml:space="preserve">build_post_event.py --close-check</w:t>
      </w:r>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2026-10-15T10:05:54Z</dcterms:created>
  <dcterms:modified xsi:type="dcterms:W3CDTF">2026-10-15T10:05:54Z</dcterms:modified>
</cp:coreProperties>
</file>

<file path=docProps/custom.xml><?xml version="1.0" encoding="utf-8"?>
<Properties xmlns="http://schemas.openxmlformats.org/officeDocument/2006/custom-properties" xmlns:vt="http://schemas.openxmlformats.org/officeDocument/2006/docPropsVTypes"/>
</file>