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f174b8c27ecb467361367c276f6ef4c11e1f48a"/>
    <w:p>
      <w:pPr>
        <w:pStyle w:val="Heading1"/>
      </w:pPr>
      <w:r>
        <w:t xml:space="preserve">US PPI (Sep 2026) — Post-Event Review (English) v20261016-0759-post</w:t>
      </w:r>
    </w:p>
    <w:p>
      <w:pPr>
        <w:pStyle w:val="BlockText"/>
      </w:pPr>
      <w:r>
        <w:t xml:space="preserve">Final (close) | Locked pre-event book v20261014-1806 (2026-10-14T18:06), not rewritten | Not investment advice</w:t>
      </w:r>
    </w:p>
    <w:bookmarkStart w:id="9" w:name="second-take"/>
    <w:p>
      <w:pPr>
        <w:pStyle w:val="Heading2"/>
      </w:pPr>
      <w:r>
        <w:t xml:space="preserve">30-second take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happened:</w:t>
      </w:r>
      <w:r>
        <w:t xml:space="preserve"> </w:t>
      </w:r>
      <w:r>
        <w:t xml:space="preserve">US PPI (Sep 2026) final_demand_mom = +1.3% vs locked consensus 0.5% / locked OS 0.5%. Locked-rule bucket:</w:t>
      </w:r>
      <w:r>
        <w:t xml:space="preserve"> </w:t>
      </w:r>
      <w:r>
        <w:rPr>
          <w:b/>
          <w:bCs/>
        </w:rPr>
        <w:t xml:space="preserve">hot</w:t>
      </w:r>
      <w:r>
        <w:t xml:space="preserve">; quality bucket:</w:t>
      </w:r>
      <w:r>
        <w:t xml:space="preserve"> </w:t>
      </w:r>
      <w:r>
        <w:rPr>
          <w:b/>
          <w:bCs/>
        </w:rPr>
        <w:t xml:space="preserve">hot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Markets:</w:t>
      </w:r>
      <w:r>
        <w:t xml:space="preserve"> </w:t>
      </w:r>
      <w:r>
        <w:t xml:space="preserve">10Y -10.1bp on the day, of which -10.9bp happened BEFORE 08:30; release window (08:29→09:15 ET) -2.7bp, 2Y (futures est.) -2.0bp. Kalshi October hike 28% → peak 36% → 28% at T+45 (prior-day 30%).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Lesson:</w:t>
      </w:r>
      <w:r>
        <w:t xml:space="preserve"> </w:t>
      </w:r>
      <w:r>
        <w:t xml:space="preserve">split the time windows; a spike that reverses = the market looked through the headline. Tech weakness (NDX -0.05%, SOX -0.88%) was mostly pre-release (AI-credit/positioning), not this print.</w:t>
      </w:r>
    </w:p>
    <w:bookmarkEnd w:id="9"/>
    <w:bookmarkStart w:id="10" w:name="actual-vs-consensus-vs-locked-os"/>
    <w:p>
      <w:pPr>
        <w:pStyle w:val="Heading2"/>
      </w:pPr>
      <w:r>
        <w:t xml:space="preserve">1. Actual vs consensus vs locked 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Actual (OS calc)</w:t>
            </w:r>
          </w:p>
        </w:tc>
        <w:tc>
          <w:tcPr/>
          <w:p>
            <w:pPr>
              <w:pStyle w:val="Compact"/>
            </w:pPr>
            <w:r>
              <w:t xml:space="preserve">Official rounded</w:t>
            </w:r>
          </w:p>
        </w:tc>
        <w:tc>
          <w:tcPr/>
          <w:p>
            <w:pPr>
              <w:pStyle w:val="Compact"/>
            </w:pPr>
            <w:r>
              <w:t xml:space="preserve">Consensus (locked)</w:t>
            </w:r>
          </w:p>
        </w:tc>
        <w:tc>
          <w:tcPr/>
          <w:p>
            <w:pPr>
              <w:pStyle w:val="Compact"/>
            </w:pPr>
            <w:r>
              <w:t xml:space="preserve">OS (locked)</w:t>
            </w:r>
          </w:p>
        </w:tc>
        <w:tc>
          <w:tcPr/>
          <w:p>
            <w:pPr>
              <w:pStyle w:val="Compact"/>
            </w:pPr>
            <w:r>
              <w:t xml:space="preserve">Surprise</w:t>
            </w:r>
          </w:p>
        </w:tc>
        <w:tc>
          <w:tcPr/>
          <w:p>
            <w:pPr>
              <w:pStyle w:val="Compact"/>
            </w:pPr>
            <w:r>
              <w:t xml:space="preserve">OS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最终需求</w:t>
            </w:r>
            <w:r>
              <w:t xml:space="preserve"> Final demand MoM</w:t>
            </w:r>
          </w:p>
        </w:tc>
        <w:tc>
          <w:tcPr/>
          <w:p>
            <w:pPr>
              <w:pStyle w:val="Compact"/>
            </w:pPr>
            <w:r>
              <w:t xml:space="preserve">+1.34%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+0.84pp</w:t>
            </w:r>
          </w:p>
        </w:tc>
        <w:tc>
          <w:tcPr/>
          <w:p>
            <w:pPr>
              <w:pStyle w:val="Compact"/>
            </w:pPr>
            <w:r>
              <w:t xml:space="preserve">+0.84pp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最终需求</w:t>
            </w:r>
            <w:r>
              <w:t xml:space="preserve"> Final demand YoY</w:t>
            </w:r>
          </w:p>
        </w:tc>
        <w:tc>
          <w:tcPr/>
          <w:p>
            <w:pPr>
              <w:pStyle w:val="Compact"/>
            </w:pPr>
            <w:r>
              <w:t xml:space="preserve">+6.34%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  <w:tc>
          <w:tcPr/>
          <w:p>
            <w:pPr>
              <w:pStyle w:val="Compact"/>
            </w:pPr>
            <w:r>
              <w:t xml:space="preserve">5.3%</w:t>
            </w:r>
          </w:p>
        </w:tc>
        <w:tc>
          <w:tcPr/>
          <w:p>
            <w:pPr>
              <w:pStyle w:val="Compact"/>
            </w:pPr>
            <w:r>
              <w:t xml:space="preserve">+1.04pp</w:t>
            </w:r>
          </w:p>
        </w:tc>
        <w:tc>
          <w:tcPr/>
          <w:p>
            <w:pPr>
              <w:pStyle w:val="Compact"/>
            </w:pPr>
            <w:r>
              <w:t xml:space="preserve">+1.04pp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核心（除食品能源）Core</w:t>
            </w:r>
            <w:r>
              <w:t xml:space="preserve"> ex F&amp;E </w:t>
            </w:r>
            <w:r>
              <w:rPr>
                <w:rFonts w:hint="eastAsia"/>
              </w:rPr>
              <w:t xml:space="preserve">MoM〔对照列=Continuum</w:t>
            </w:r>
            <w:r>
              <w:t xml:space="preserve"> </w:t>
            </w:r>
            <w:r>
              <w:rPr>
                <w:rFonts w:hint="eastAsia"/>
              </w:rPr>
              <w:t xml:space="preserve">分析师观点</w:t>
            </w:r>
            <w:r>
              <w:t xml:space="preserve"> </w:t>
            </w:r>
            <w:r>
              <w:rPr>
                <w:rFonts w:hint="eastAsia"/>
              </w:rPr>
              <w:t xml:space="preserve">0.3%，非共识〕</w:t>
            </w:r>
          </w:p>
        </w:tc>
        <w:tc>
          <w:tcPr/>
          <w:p>
            <w:pPr>
              <w:pStyle w:val="Compact"/>
            </w:pPr>
            <w:r>
              <w:t xml:space="preserve">+0.68%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+0.38pp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</w:t>
            </w:r>
            <w:r>
              <w:t xml:space="preserve"> Core ex F&amp;E YoY</w:t>
            </w:r>
          </w:p>
        </w:tc>
        <w:tc>
          <w:tcPr/>
          <w:p>
            <w:pPr>
              <w:pStyle w:val="Compact"/>
            </w:pPr>
            <w:r>
              <w:t xml:space="preserve">+4.97%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除食品能源贸易</w:t>
            </w:r>
            <w:r>
              <w:t xml:space="preserve"> Ex F/E/trade MoM</w:t>
            </w:r>
          </w:p>
        </w:tc>
        <w:tc>
          <w:tcPr/>
          <w:p>
            <w:pPr>
              <w:pStyle w:val="Compact"/>
            </w:pPr>
            <w:r>
              <w:t xml:space="preserve">+0.49%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bookmarkEnd w:id="10"/>
    <w:bookmarkStart w:id="11" w:name="components"/>
    <w:p>
      <w:pPr>
        <w:pStyle w:val="Heading2"/>
      </w:pPr>
      <w:r>
        <w:t xml:space="preserve">2.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MoM</w:t>
            </w:r>
          </w:p>
        </w:tc>
        <w:tc>
          <w:tcPr/>
          <w:p>
            <w:pPr>
              <w:pStyle w:val="Compact"/>
            </w:pPr>
            <w:r>
              <w:t xml:space="preserve">Prior MoM (revised)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能源</w:t>
            </w:r>
            <w:r>
              <w:t xml:space="preserve"> Energy (goods)</w:t>
            </w:r>
          </w:p>
        </w:tc>
        <w:tc>
          <w:tcPr/>
          <w:p>
            <w:pPr>
              <w:pStyle w:val="Compact"/>
            </w:pPr>
            <w:r>
              <w:t xml:space="preserve">+10.78%</w:t>
            </w:r>
          </w:p>
        </w:tc>
        <w:tc>
          <w:tcPr/>
          <w:p>
            <w:pPr>
              <w:pStyle w:val="Compact"/>
            </w:pPr>
            <w:r>
              <w:t xml:space="preserve">+4.46%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运输仓储</w:t>
            </w:r>
            <w:r>
              <w:t xml:space="preserve"> Transport &amp; warehousing</w:t>
            </w:r>
          </w:p>
        </w:tc>
        <w:tc>
          <w:tcPr/>
          <w:p>
            <w:pPr>
              <w:pStyle w:val="Compact"/>
            </w:pPr>
            <w:r>
              <w:t xml:space="preserve">+3.44%</w:t>
            </w:r>
          </w:p>
        </w:tc>
        <w:tc>
          <w:tcPr/>
          <w:p>
            <w:pPr>
              <w:pStyle w:val="Compact"/>
            </w:pPr>
            <w:r>
              <w:t xml:space="preserve">+2.18%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机票</w:t>
            </w:r>
            <w:r>
              <w:t xml:space="preserve"> Airline passenger svcs*</w:t>
            </w:r>
          </w:p>
        </w:tc>
        <w:tc>
          <w:tcPr/>
          <w:p>
            <w:pPr>
              <w:pStyle w:val="Compact"/>
            </w:pPr>
            <w:r>
              <w:t xml:space="preserve">+3.81%</w:t>
            </w:r>
          </w:p>
        </w:tc>
        <w:tc>
          <w:tcPr/>
          <w:p>
            <w:pPr>
              <w:pStyle w:val="Compact"/>
            </w:pPr>
            <w:r>
              <w:t xml:space="preserve">+2.58%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</w:t>
            </w:r>
            <w:r>
              <w:t xml:space="preserve"> Foods</w:t>
            </w:r>
          </w:p>
        </w:tc>
        <w:tc>
          <w:tcPr/>
          <w:p>
            <w:pPr>
              <w:pStyle w:val="Compact"/>
            </w:pPr>
            <w:r>
              <w:t xml:space="preserve">+1.22%</w:t>
            </w:r>
          </w:p>
        </w:tc>
        <w:tc>
          <w:tcPr/>
          <w:p>
            <w:pPr>
              <w:pStyle w:val="Compact"/>
            </w:pPr>
            <w:r>
              <w:t xml:space="preserve">-0.32%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贸易利润</w:t>
            </w:r>
            <w:r>
              <w:t xml:space="preserve"> Trade margins</w:t>
            </w:r>
          </w:p>
        </w:tc>
        <w:tc>
          <w:tcPr/>
          <w:p>
            <w:pPr>
              <w:pStyle w:val="Compact"/>
            </w:pPr>
            <w:r>
              <w:t xml:space="preserve">+1.38%</w:t>
            </w:r>
          </w:p>
        </w:tc>
        <w:tc>
          <w:tcPr/>
          <w:p>
            <w:pPr>
              <w:pStyle w:val="Compact"/>
            </w:pPr>
            <w:r>
              <w:t xml:space="preserve">+0.19%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最终需求商品</w:t>
            </w:r>
            <w:r>
              <w:t xml:space="preserve"> FD goods</w:t>
            </w:r>
          </w:p>
        </w:tc>
        <w:tc>
          <w:tcPr/>
          <w:p>
            <w:pPr>
              <w:pStyle w:val="Compact"/>
            </w:pPr>
            <w:r>
              <w:t xml:space="preserve">+2.65%</w:t>
            </w:r>
          </w:p>
        </w:tc>
        <w:tc>
          <w:tcPr/>
          <w:p>
            <w:pPr>
              <w:pStyle w:val="Compact"/>
            </w:pPr>
            <w:r>
              <w:t xml:space="preserve">+1.09%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  <w:r>
              <w:t xml:space="preserve"> FD services</w:t>
            </w:r>
          </w:p>
        </w:tc>
        <w:tc>
          <w:tcPr/>
          <w:p>
            <w:pPr>
              <w:pStyle w:val="Compact"/>
            </w:pPr>
            <w:r>
              <w:t xml:space="preserve">+0.82%</w:t>
            </w:r>
          </w:p>
        </w:tc>
        <w:tc>
          <w:tcPr/>
          <w:p>
            <w:pPr>
              <w:pStyle w:val="Compact"/>
            </w:pPr>
            <w:r>
              <w:t xml:space="preserve">+0.21%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医院住院</w:t>
            </w:r>
            <w:r>
              <w:t xml:space="preserve"> Hospital inpatient</w:t>
            </w:r>
          </w:p>
        </w:tc>
        <w:tc>
          <w:tcPr/>
          <w:p>
            <w:pPr>
              <w:pStyle w:val="Compact"/>
            </w:pPr>
            <w:r>
              <w:t xml:space="preserve">+0.32%</w:t>
            </w:r>
          </w:p>
        </w:tc>
        <w:tc>
          <w:tcPr/>
          <w:p>
            <w:pPr>
              <w:pStyle w:val="Compact"/>
            </w:pPr>
            <w:r>
              <w:t xml:space="preserve">+0.33%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核心商品</w:t>
            </w:r>
            <w:r>
              <w:t xml:space="preserve"> Goods ex food&amp;energy</w:t>
            </w:r>
          </w:p>
        </w:tc>
        <w:tc>
          <w:tcPr/>
          <w:p>
            <w:pPr>
              <w:pStyle w:val="Compact"/>
            </w:pPr>
            <w:r>
              <w:t xml:space="preserve">+0.27%</w:t>
            </w:r>
          </w:p>
        </w:tc>
        <w:tc>
          <w:tcPr/>
          <w:p>
            <w:pPr>
              <w:pStyle w:val="Compact"/>
            </w:pPr>
            <w:r>
              <w:t xml:space="preserve">+0.39%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组合管理费</w:t>
            </w:r>
            <w:r>
              <w:t xml:space="preserve"> Portfolio mgmt*</w:t>
            </w:r>
          </w:p>
        </w:tc>
        <w:tc>
          <w:tcPr/>
          <w:p>
            <w:pPr>
              <w:pStyle w:val="Compact"/>
            </w:pPr>
            <w:r>
              <w:t xml:space="preserve">+0.27%</w:t>
            </w:r>
          </w:p>
        </w:tc>
        <w:tc>
          <w:tcPr/>
          <w:p>
            <w:pPr>
              <w:pStyle w:val="Compact"/>
            </w:pPr>
            <w:r>
              <w:t xml:space="preserve">+0.29%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服务(除贸易运输)</w:t>
            </w:r>
            <w:r>
              <w:t xml:space="preserve"> Svcs less trade/transp.</w:t>
            </w:r>
          </w:p>
        </w:tc>
        <w:tc>
          <w:tcPr/>
          <w:p>
            <w:pPr>
              <w:pStyle w:val="Compact"/>
            </w:pPr>
            <w:r>
              <w:t xml:space="preserve">+0.25%</w:t>
            </w:r>
          </w:p>
        </w:tc>
        <w:tc>
          <w:tcPr/>
          <w:p>
            <w:pPr>
              <w:pStyle w:val="Compact"/>
            </w:pPr>
            <w:r>
              <w:t xml:space="preserve">-0.00%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医生服务</w:t>
            </w:r>
            <w:r>
              <w:t xml:space="preserve"> Physician care</w:t>
            </w:r>
          </w:p>
        </w:tc>
        <w:tc>
          <w:tcPr/>
          <w:p>
            <w:pPr>
              <w:pStyle w:val="Compact"/>
            </w:pPr>
            <w:r>
              <w:t xml:space="preserve">-0.02%</w:t>
            </w:r>
          </w:p>
        </w:tc>
        <w:tc>
          <w:tcPr/>
          <w:p>
            <w:pPr>
              <w:pStyle w:val="Compact"/>
            </w:pPr>
            <w:r>
              <w:t xml:space="preserve">+0.13%</w:t>
            </w:r>
          </w:p>
        </w:tc>
      </w:tr>
    </w:tbl>
    <w:bookmarkEnd w:id="11"/>
    <w:bookmarkStart w:id="12" w:name="market-reaction"/>
    <w:p>
      <w:pPr>
        <w:pStyle w:val="Heading2"/>
      </w:pPr>
      <w:r>
        <w:t xml:space="preserve">3. Market reaction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t xml:space="preserve">08:29 ET</w:t>
            </w:r>
          </w:p>
        </w:tc>
        <w:tc>
          <w:tcPr/>
          <w:p>
            <w:pPr>
              <w:pStyle w:val="Compact"/>
            </w:pPr>
            <w:r>
              <w:t xml:space="preserve">08:31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09:15（T+45）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公布瞬间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</w:t>
            </w:r>
            <w:r>
              <w:t xml:space="preserve"> 45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较前收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10Y </w:t>
            </w:r>
            <w:r>
              <w:rPr>
                <w:rFonts w:hint="eastAsia"/>
              </w:rPr>
              <w:t xml:space="preserve">美债</w:t>
            </w:r>
            <w:r>
              <w:t xml:space="preserve"> (^TNX)</w:t>
            </w:r>
          </w:p>
        </w:tc>
        <w:tc>
          <w:tcPr/>
          <w:p>
            <w:pPr>
              <w:pStyle w:val="Compact"/>
            </w:pPr>
            <w:r>
              <w:t xml:space="preserve">5.190%</w:t>
            </w:r>
          </w:p>
        </w:tc>
        <w:tc>
          <w:tcPr/>
          <w:p>
            <w:pPr>
              <w:pStyle w:val="Compact"/>
            </w:pPr>
            <w:r>
              <w:t xml:space="preserve">5.081%</w:t>
            </w:r>
          </w:p>
        </w:tc>
        <w:tc>
          <w:tcPr/>
          <w:p>
            <w:pPr>
              <w:pStyle w:val="Compact"/>
            </w:pPr>
            <w:r>
              <w:t xml:space="preserve">5.095%</w:t>
            </w:r>
          </w:p>
        </w:tc>
        <w:tc>
          <w:tcPr/>
          <w:p>
            <w:pPr>
              <w:pStyle w:val="Compact"/>
            </w:pPr>
            <w:r>
              <w:t xml:space="preserve">5.054%</w:t>
            </w:r>
          </w:p>
        </w:tc>
        <w:tc>
          <w:tcPr/>
          <w:p>
            <w:pPr>
              <w:pStyle w:val="Compact"/>
            </w:pPr>
            <w:r>
              <w:t xml:space="preserve">5.089%</w:t>
            </w:r>
          </w:p>
        </w:tc>
        <w:tc>
          <w:tcPr/>
          <w:p>
            <w:pPr>
              <w:pStyle w:val="Compact"/>
            </w:pPr>
            <w:r>
              <w:t xml:space="preserve">+1.4bp</w:t>
            </w:r>
          </w:p>
        </w:tc>
        <w:tc>
          <w:tcPr/>
          <w:p>
            <w:pPr>
              <w:pStyle w:val="Compact"/>
            </w:pPr>
            <w:r>
              <w:t xml:space="preserve">-2.7bp</w:t>
            </w:r>
          </w:p>
        </w:tc>
        <w:tc>
          <w:tcPr/>
          <w:p>
            <w:pPr>
              <w:pStyle w:val="Compact"/>
            </w:pPr>
            <w:r>
              <w:t xml:space="preserve">-10.1bp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5Y (^FVX)</w:t>
            </w:r>
          </w:p>
        </w:tc>
        <w:tc>
          <w:tcPr/>
          <w:p>
            <w:pPr>
              <w:pStyle w:val="Compact"/>
            </w:pPr>
            <w:r>
              <w:t xml:space="preserve">4.992%</w:t>
            </w:r>
          </w:p>
        </w:tc>
        <w:tc>
          <w:tcPr/>
          <w:p>
            <w:pPr>
              <w:pStyle w:val="Compact"/>
            </w:pPr>
            <w:r>
              <w:t xml:space="preserve">4.890%</w:t>
            </w:r>
          </w:p>
        </w:tc>
        <w:tc>
          <w:tcPr/>
          <w:p>
            <w:pPr>
              <w:pStyle w:val="Compact"/>
            </w:pPr>
            <w:r>
              <w:t xml:space="preserve">4.913%</w:t>
            </w:r>
          </w:p>
        </w:tc>
        <w:tc>
          <w:tcPr/>
          <w:p>
            <w:pPr>
              <w:pStyle w:val="Compact"/>
            </w:pPr>
            <w:r>
              <w:t xml:space="preserve">4.868%</w:t>
            </w:r>
          </w:p>
        </w:tc>
        <w:tc>
          <w:tcPr/>
          <w:p>
            <w:pPr>
              <w:pStyle w:val="Compact"/>
            </w:pPr>
            <w:r>
              <w:t xml:space="preserve">4.899%</w:t>
            </w:r>
          </w:p>
        </w:tc>
        <w:tc>
          <w:tcPr/>
          <w:p>
            <w:pPr>
              <w:pStyle w:val="Compact"/>
            </w:pPr>
            <w:r>
              <w:t xml:space="preserve">+2.3bp</w:t>
            </w:r>
          </w:p>
        </w:tc>
        <w:tc>
          <w:tcPr/>
          <w:p>
            <w:pPr>
              <w:pStyle w:val="Compact"/>
            </w:pPr>
            <w:r>
              <w:t xml:space="preserve">-2.2bp</w:t>
            </w:r>
          </w:p>
        </w:tc>
        <w:tc>
          <w:tcPr/>
          <w:p>
            <w:pPr>
              <w:pStyle w:val="Compact"/>
            </w:pPr>
            <w:r>
              <w:t xml:space="preserve">-9.3bp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2Y（ZT</w:t>
            </w:r>
            <w:r>
              <w:t xml:space="preserve"> </w:t>
            </w:r>
            <w:r>
              <w:rPr>
                <w:rFonts w:hint="eastAsia"/>
              </w:rPr>
              <w:t xml:space="preserve">期货估算</w:t>
            </w:r>
            <w:r>
              <w:t xml:space="preserve"> / CNBC </w:t>
            </w:r>
            <w:r>
              <w:rPr>
                <w:rFonts w:hint="eastAsia"/>
              </w:rPr>
              <w:t xml:space="preserve">现货）</w:t>
            </w:r>
          </w:p>
        </w:tc>
        <w:tc>
          <w:tcPr/>
          <w:p>
            <w:pPr>
              <w:pStyle w:val="Compact"/>
            </w:pPr>
            <w:r>
              <w:t xml:space="preserve">4.751%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4.766%（19:59</w:t>
            </w:r>
            <w:r>
              <w:t xml:space="preserve"> </w:t>
            </w:r>
            <w:r>
              <w:rPr>
                <w:rFonts w:hint="eastAsia"/>
              </w:rPr>
              <w:t xml:space="preserve">ET）</w:t>
            </w:r>
          </w:p>
        </w:tc>
        <w:tc>
          <w:tcPr/>
          <w:p>
            <w:pPr>
              <w:pStyle w:val="Compact"/>
            </w:pPr>
            <w:r>
              <w:t xml:space="preserve">+2.2bp</w:t>
            </w:r>
          </w:p>
        </w:tc>
        <w:tc>
          <w:tcPr/>
          <w:p>
            <w:pPr>
              <w:pStyle w:val="Compact"/>
            </w:pPr>
            <w:r>
              <w:t xml:space="preserve">-2.0bp</w:t>
            </w:r>
          </w:p>
        </w:tc>
        <w:tc>
          <w:tcPr/>
          <w:p>
            <w:pPr>
              <w:pStyle w:val="Compact"/>
            </w:pPr>
            <w:r>
              <w:t xml:space="preserve">+1.5bp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USD/JPY</w:t>
            </w:r>
          </w:p>
        </w:tc>
        <w:tc>
          <w:tcPr/>
          <w:p>
            <w:pPr>
              <w:pStyle w:val="Compact"/>
            </w:pPr>
            <w:r>
              <w:t xml:space="preserve">158.32</w:t>
            </w:r>
          </w:p>
        </w:tc>
        <w:tc>
          <w:tcPr/>
          <w:p>
            <w:pPr>
              <w:pStyle w:val="Compact"/>
            </w:pPr>
            <w:r>
              <w:t xml:space="preserve">158.01</w:t>
            </w:r>
          </w:p>
        </w:tc>
        <w:tc>
          <w:tcPr/>
          <w:p>
            <w:pPr>
              <w:pStyle w:val="Compact"/>
            </w:pPr>
            <w:r>
              <w:t xml:space="preserve">158.07</w:t>
            </w:r>
          </w:p>
        </w:tc>
        <w:tc>
          <w:tcPr/>
          <w:p>
            <w:pPr>
              <w:pStyle w:val="Compact"/>
            </w:pPr>
            <w:r>
              <w:t xml:space="preserve">157.84</w:t>
            </w:r>
          </w:p>
        </w:tc>
        <w:tc>
          <w:tcPr/>
          <w:p>
            <w:pPr>
              <w:pStyle w:val="Compact"/>
            </w:pPr>
            <w:r>
              <w:t xml:space="preserve">158.13</w:t>
            </w:r>
          </w:p>
        </w:tc>
        <w:tc>
          <w:tcPr/>
          <w:p>
            <w:pPr>
              <w:pStyle w:val="Compact"/>
            </w:pPr>
            <w:r>
              <w:t xml:space="preserve">+0.04%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  <w:tc>
          <w:tcPr/>
          <w:p>
            <w:pPr>
              <w:pStyle w:val="Compact"/>
            </w:pPr>
            <w:r>
              <w:t xml:space="preserve">-0.12%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DXY </w:t>
            </w:r>
            <w:r>
              <w:rPr>
                <w:rFonts w:hint="eastAsia"/>
              </w:rPr>
              <w:t xml:space="preserve">美元指数</w:t>
            </w:r>
          </w:p>
        </w:tc>
        <w:tc>
          <w:tcPr/>
          <w:p>
            <w:pPr>
              <w:pStyle w:val="Compact"/>
            </w:pPr>
            <w:r>
              <w:t xml:space="preserve">102.55</w:t>
            </w:r>
          </w:p>
        </w:tc>
        <w:tc>
          <w:tcPr/>
          <w:p>
            <w:pPr>
              <w:pStyle w:val="Compact"/>
            </w:pPr>
            <w:r>
              <w:t xml:space="preserve">102.13</w:t>
            </w:r>
          </w:p>
        </w:tc>
        <w:tc>
          <w:tcPr/>
          <w:p>
            <w:pPr>
              <w:pStyle w:val="Compact"/>
            </w:pPr>
            <w:r>
              <w:t xml:space="preserve">102.21</w:t>
            </w:r>
          </w:p>
        </w:tc>
        <w:tc>
          <w:tcPr/>
          <w:p>
            <w:pPr>
              <w:pStyle w:val="Compact"/>
            </w:pPr>
            <w:r>
              <w:t xml:space="preserve">102.07</w:t>
            </w:r>
          </w:p>
        </w:tc>
        <w:tc>
          <w:tcPr/>
          <w:p>
            <w:pPr>
              <w:pStyle w:val="Compact"/>
            </w:pPr>
            <w:r>
              <w:t xml:space="preserve">102.04</w:t>
            </w:r>
          </w:p>
        </w:tc>
        <w:tc>
          <w:tcPr/>
          <w:p>
            <w:pPr>
              <w:pStyle w:val="Compact"/>
            </w:pPr>
            <w:r>
              <w:t xml:space="preserve">+0.08%</w:t>
            </w:r>
          </w:p>
        </w:tc>
        <w:tc>
          <w:tcPr/>
          <w:p>
            <w:pPr>
              <w:pStyle w:val="Compact"/>
            </w:pPr>
            <w:r>
              <w:t xml:space="preserve">-0.05%</w:t>
            </w:r>
          </w:p>
        </w:tc>
        <w:tc>
          <w:tcPr/>
          <w:p>
            <w:pPr>
              <w:pStyle w:val="Compact"/>
            </w:pPr>
            <w:r>
              <w:t xml:space="preserve">-0.50%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NQ </w:t>
            </w:r>
            <w:r>
              <w:rPr>
                <w:rFonts w:hint="eastAsia"/>
              </w:rPr>
              <w:t xml:space="preserve">纳指期货</w:t>
            </w:r>
          </w:p>
        </w:tc>
        <w:tc>
          <w:tcPr/>
          <w:p>
            <w:pPr>
              <w:pStyle w:val="Compact"/>
            </w:pPr>
            <w:r>
              <w:t xml:space="preserve">30,182.75</w:t>
            </w:r>
          </w:p>
        </w:tc>
        <w:tc>
          <w:tcPr/>
          <w:p>
            <w:pPr>
              <w:pStyle w:val="Compact"/>
            </w:pPr>
            <w:r>
              <w:t xml:space="preserve">29,833.00</w:t>
            </w:r>
          </w:p>
        </w:tc>
        <w:tc>
          <w:tcPr/>
          <w:p>
            <w:pPr>
              <w:pStyle w:val="Compact"/>
            </w:pPr>
            <w:r>
              <w:t xml:space="preserve">29,754.00</w:t>
            </w:r>
          </w:p>
        </w:tc>
        <w:tc>
          <w:tcPr/>
          <w:p>
            <w:pPr>
              <w:pStyle w:val="Compact"/>
            </w:pPr>
            <w:r>
              <w:t xml:space="preserve">29,799.50</w:t>
            </w:r>
          </w:p>
        </w:tc>
        <w:tc>
          <w:tcPr/>
          <w:p>
            <w:pPr>
              <w:pStyle w:val="Compact"/>
            </w:pPr>
            <w:r>
              <w:t xml:space="preserve">29,993.00</w:t>
            </w:r>
          </w:p>
        </w:tc>
        <w:tc>
          <w:tcPr/>
          <w:p>
            <w:pPr>
              <w:pStyle w:val="Compact"/>
            </w:pPr>
            <w:r>
              <w:t xml:space="preserve">-0.26%</w:t>
            </w:r>
          </w:p>
        </w:tc>
        <w:tc>
          <w:tcPr/>
          <w:p>
            <w:pPr>
              <w:pStyle w:val="Compact"/>
            </w:pPr>
            <w:r>
              <w:t xml:space="preserve">-0.11%</w:t>
            </w:r>
          </w:p>
        </w:tc>
        <w:tc>
          <w:tcPr/>
          <w:p>
            <w:pPr>
              <w:pStyle w:val="Compact"/>
            </w:pPr>
            <w:r>
              <w:t xml:space="preserve">-0.63%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 </w:t>
            </w:r>
            <w:r>
              <w:rPr>
                <w:rFonts w:hint="eastAsia"/>
              </w:rPr>
              <w:t xml:space="preserve">标普期货</w:t>
            </w:r>
          </w:p>
        </w:tc>
        <w:tc>
          <w:tcPr/>
          <w:p>
            <w:pPr>
              <w:pStyle w:val="Compact"/>
            </w:pPr>
            <w:r>
              <w:t xml:space="preserve">7,770.25</w:t>
            </w:r>
          </w:p>
        </w:tc>
        <w:tc>
          <w:tcPr/>
          <w:p>
            <w:pPr>
              <w:pStyle w:val="Compact"/>
            </w:pPr>
            <w:r>
              <w:t xml:space="preserve">7,751.50</w:t>
            </w:r>
          </w:p>
        </w:tc>
        <w:tc>
          <w:tcPr/>
          <w:p>
            <w:pPr>
              <w:pStyle w:val="Compact"/>
            </w:pPr>
            <w:r>
              <w:t xml:space="preserve">7,737.75</w:t>
            </w:r>
          </w:p>
        </w:tc>
        <w:tc>
          <w:tcPr/>
          <w:p>
            <w:pPr>
              <w:pStyle w:val="Compact"/>
            </w:pPr>
            <w:r>
              <w:t xml:space="preserve">7,744.00</w:t>
            </w:r>
          </w:p>
        </w:tc>
        <w:tc>
          <w:tcPr/>
          <w:p>
            <w:pPr>
              <w:pStyle w:val="Compact"/>
            </w:pPr>
            <w:r>
              <w:t xml:space="preserve">7,777.00</w:t>
            </w:r>
          </w:p>
        </w:tc>
        <w:tc>
          <w:tcPr/>
          <w:p>
            <w:pPr>
              <w:pStyle w:val="Compact"/>
            </w:pPr>
            <w:r>
              <w:t xml:space="preserve">-0.18%</w:t>
            </w:r>
          </w:p>
        </w:tc>
        <w:tc>
          <w:tcPr/>
          <w:p>
            <w:pPr>
              <w:pStyle w:val="Compact"/>
            </w:pPr>
            <w:r>
              <w:t xml:space="preserve">-0.10%</w:t>
            </w:r>
          </w:p>
        </w:tc>
        <w:tc>
          <w:tcPr/>
          <w:p>
            <w:pPr>
              <w:pStyle w:val="Compact"/>
            </w:pPr>
            <w:r>
              <w:t xml:space="preserve">+0.09%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黄金</w:t>
            </w:r>
            <w:r>
              <w:t xml:space="preserve"> Gold</w:t>
            </w:r>
          </w:p>
        </w:tc>
        <w:tc>
          <w:tcPr/>
          <w:p>
            <w:pPr>
              <w:pStyle w:val="Compact"/>
            </w:pPr>
            <w:r>
              <w:t xml:space="preserve">4,107.90</w:t>
            </w:r>
          </w:p>
        </w:tc>
        <w:tc>
          <w:tcPr/>
          <w:p>
            <w:pPr>
              <w:pStyle w:val="Compact"/>
            </w:pPr>
            <w:r>
              <w:t xml:space="preserve">4,176.00</w:t>
            </w:r>
          </w:p>
        </w:tc>
        <w:tc>
          <w:tcPr/>
          <w:p>
            <w:pPr>
              <w:pStyle w:val="Compact"/>
            </w:pPr>
            <w:r>
              <w:t xml:space="preserve">4,164.50</w:t>
            </w:r>
          </w:p>
        </w:tc>
        <w:tc>
          <w:tcPr/>
          <w:p>
            <w:pPr>
              <w:pStyle w:val="Compact"/>
            </w:pPr>
            <w:r>
              <w:t xml:space="preserve">4,184.10</w:t>
            </w:r>
          </w:p>
        </w:tc>
        <w:tc>
          <w:tcPr/>
          <w:p>
            <w:pPr>
              <w:pStyle w:val="Compact"/>
            </w:pPr>
            <w:r>
              <w:t xml:space="preserve">4,178.80</w:t>
            </w:r>
          </w:p>
        </w:tc>
        <w:tc>
          <w:tcPr/>
          <w:p>
            <w:pPr>
              <w:pStyle w:val="Compact"/>
            </w:pPr>
            <w:r>
              <w:t xml:space="preserve">-0.28%</w:t>
            </w:r>
          </w:p>
        </w:tc>
        <w:tc>
          <w:tcPr/>
          <w:p>
            <w:pPr>
              <w:pStyle w:val="Compact"/>
            </w:pPr>
            <w:r>
              <w:t xml:space="preserve">+0.19%</w:t>
            </w:r>
          </w:p>
        </w:tc>
        <w:tc>
          <w:tcPr/>
          <w:p>
            <w:pPr>
              <w:pStyle w:val="Compact"/>
            </w:pPr>
            <w:r>
              <w:t xml:space="preserve">+1.73%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WTI </w:t>
            </w:r>
            <w:r>
              <w:rPr>
                <w:rFonts w:hint="eastAsia"/>
              </w:rPr>
              <w:t xml:space="preserve">原油</w:t>
            </w:r>
          </w:p>
        </w:tc>
        <w:tc>
          <w:tcPr/>
          <w:p>
            <w:pPr>
              <w:pStyle w:val="Compact"/>
            </w:pPr>
            <w:r>
              <w:t xml:space="preserve">95.09</w:t>
            </w:r>
          </w:p>
        </w:tc>
        <w:tc>
          <w:tcPr/>
          <w:p>
            <w:pPr>
              <w:pStyle w:val="Compact"/>
            </w:pPr>
            <w:r>
              <w:t xml:space="preserve">93.84</w:t>
            </w:r>
          </w:p>
        </w:tc>
        <w:tc>
          <w:tcPr/>
          <w:p>
            <w:pPr>
              <w:pStyle w:val="Compact"/>
            </w:pPr>
            <w:r>
              <w:t xml:space="preserve">93.68</w:t>
            </w:r>
          </w:p>
        </w:tc>
        <w:tc>
          <w:tcPr/>
          <w:p>
            <w:pPr>
              <w:pStyle w:val="Compact"/>
            </w:pPr>
            <w:r>
              <w:t xml:space="preserve">94.47</w:t>
            </w:r>
          </w:p>
        </w:tc>
        <w:tc>
          <w:tcPr/>
          <w:p>
            <w:pPr>
              <w:pStyle w:val="Compact"/>
            </w:pPr>
            <w:r>
              <w:t xml:space="preserve">96.16</w:t>
            </w:r>
          </w:p>
        </w:tc>
        <w:tc>
          <w:tcPr/>
          <w:p>
            <w:pPr>
              <w:pStyle w:val="Compact"/>
            </w:pPr>
            <w:r>
              <w:t xml:space="preserve">-0.17%</w:t>
            </w:r>
          </w:p>
        </w:tc>
        <w:tc>
          <w:tcPr/>
          <w:p>
            <w:pPr>
              <w:pStyle w:val="Compact"/>
            </w:pPr>
            <w:r>
              <w:t xml:space="preserve">+0.67%</w:t>
            </w:r>
          </w:p>
        </w:tc>
        <w:tc>
          <w:tcPr/>
          <w:p>
            <w:pPr>
              <w:pStyle w:val="Compact"/>
            </w:pPr>
            <w:r>
              <w:t xml:space="preserve">+1.13%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VIX</w:t>
            </w:r>
          </w:p>
        </w:tc>
        <w:tc>
          <w:tcPr/>
          <w:p>
            <w:pPr>
              <w:pStyle w:val="Compact"/>
            </w:pPr>
            <w:r>
              <w:t xml:space="preserve">16.87</w:t>
            </w:r>
          </w:p>
        </w:tc>
        <w:tc>
          <w:tcPr/>
          <w:p>
            <w:pPr>
              <w:pStyle w:val="Compact"/>
            </w:pPr>
            <w:r>
              <w:t xml:space="preserve">17.48</w:t>
            </w:r>
          </w:p>
        </w:tc>
        <w:tc>
          <w:tcPr/>
          <w:p>
            <w:pPr>
              <w:pStyle w:val="Compact"/>
            </w:pPr>
            <w:r>
              <w:t xml:space="preserve">17.69</w:t>
            </w:r>
          </w:p>
        </w:tc>
        <w:tc>
          <w:tcPr/>
          <w:p>
            <w:pPr>
              <w:pStyle w:val="Compact"/>
            </w:pPr>
            <w:r>
              <w:t xml:space="preserve">17.49</w:t>
            </w:r>
          </w:p>
        </w:tc>
        <w:tc>
          <w:tcPr/>
          <w:p>
            <w:pPr>
              <w:pStyle w:val="Compact"/>
            </w:pPr>
            <w:r>
              <w:t xml:space="preserve">16.46</w:t>
            </w:r>
          </w:p>
        </w:tc>
        <w:tc>
          <w:tcPr/>
          <w:p>
            <w:pPr>
              <w:pStyle w:val="Compact"/>
            </w:pPr>
            <w:r>
              <w:t xml:space="preserve">+0.21</w:t>
            </w:r>
          </w:p>
        </w:tc>
        <w:tc>
          <w:tcPr/>
          <w:p>
            <w:pPr>
              <w:pStyle w:val="Compact"/>
            </w:pPr>
            <w:r>
              <w:t xml:space="preserve">+0.01</w:t>
            </w:r>
          </w:p>
        </w:tc>
        <w:tc>
          <w:tcPr/>
          <w:p>
            <w:pPr>
              <w:pStyle w:val="Compact"/>
            </w:pPr>
            <w:r>
              <w:t xml:space="preserve">-0.41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NDX </w:t>
            </w:r>
            <w:r>
              <w:rPr>
                <w:rFonts w:hint="eastAsia"/>
              </w:rPr>
              <w:t xml:space="preserve">纳指100</w:t>
            </w:r>
          </w:p>
        </w:tc>
        <w:tc>
          <w:tcPr/>
          <w:p>
            <w:pPr>
              <w:pStyle w:val="Compact"/>
            </w:pPr>
            <w:r>
              <w:t xml:space="preserve">29,950.82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29,935.59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SOX </w:t>
            </w:r>
            <w:r>
              <w:rPr>
                <w:rFonts w:hint="eastAsia"/>
              </w:rPr>
              <w:t xml:space="preserve">费城半导体</w:t>
            </w:r>
          </w:p>
        </w:tc>
        <w:tc>
          <w:tcPr/>
          <w:p>
            <w:pPr>
              <w:pStyle w:val="Compact"/>
            </w:pPr>
            <w:r>
              <w:t xml:space="preserve">11,684.38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11,581.22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-0.88%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S&amp;P 500</w:t>
            </w:r>
          </w:p>
        </w:tc>
        <w:tc>
          <w:tcPr/>
          <w:p>
            <w:pPr>
              <w:pStyle w:val="Compact"/>
            </w:pPr>
            <w:r>
              <w:t xml:space="preserve">7,718.94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（09:30</w:t>
            </w:r>
            <w:r>
              <w:t xml:space="preserve"> </w:t>
            </w:r>
            <w:r>
              <w:rPr>
                <w:rFonts w:hint="eastAsia"/>
              </w:rPr>
              <w:t xml:space="preserve">开盘）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7,744.06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+0.33%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合约（Kalshi）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前一日参考价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公布前</w:t>
            </w:r>
            <w:r>
              <w:t xml:space="preserve"> 08:29 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公布后峰值(08:30–09:15)</w:t>
            </w:r>
          </w:p>
        </w:tc>
        <w:tc>
          <w:tcPr/>
          <w:p>
            <w:pPr>
              <w:pStyle w:val="Compact"/>
            </w:pPr>
            <w:r>
              <w:t xml:space="preserve">T+45 09:15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10/28 </w:t>
            </w:r>
            <w:r>
              <w:rPr>
                <w:rFonts w:hint="eastAsia"/>
              </w:rPr>
              <w:t xml:space="preserve">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36%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月会议</w:t>
            </w:r>
            <w:r>
              <w:t xml:space="preserve"> </w:t>
            </w:r>
            <w:r>
              <w:rPr>
                <w:rFonts w:hint="eastAsia"/>
              </w:rPr>
              <w:t xml:space="preserve">加息</w:t>
            </w:r>
            <w:r>
              <w:t xml:space="preserve"> 25bp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77%</w:t>
            </w:r>
          </w:p>
        </w:tc>
      </w:tr>
    </w:tbl>
    <w:bookmarkEnd w:id="12"/>
    <w:bookmarkStart w:id="13" w:name="watchlist"/>
    <w:p>
      <w:pPr>
        <w:pStyle w:val="Heading2"/>
      </w:pPr>
      <w:r>
        <w:t xml:space="preserve">4. Watchlist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盘前(08:29)</w:t>
            </w:r>
            <w:r>
              <w:t xml:space="preserve"> vs </w:t>
            </w:r>
            <w:r>
              <w:rPr>
                <w:rFonts w:hint="eastAsia"/>
              </w:rPr>
              <w:t xml:space="preserve">前收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公布后(08:29→最新)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较前收（收盘）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NVDA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-1.60%</w:t>
            </w:r>
          </w:p>
        </w:tc>
        <w:tc>
          <w:tcPr/>
          <w:p>
            <w:pPr>
              <w:pStyle w:val="Compact"/>
            </w:pPr>
            <w:r>
              <w:t xml:space="preserve">-0.48%</w:t>
            </w:r>
          </w:p>
        </w:tc>
        <w:tc>
          <w:tcPr/>
          <w:p>
            <w:pPr>
              <w:pStyle w:val="Compact"/>
            </w:pPr>
            <w:r>
              <w:t xml:space="preserve">-2.08%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-4.20%</w:t>
            </w:r>
          </w:p>
        </w:tc>
        <w:tc>
          <w:tcPr/>
          <w:p>
            <w:pPr>
              <w:pStyle w:val="Compact"/>
            </w:pPr>
            <w:r>
              <w:t xml:space="preserve">+5.40%</w:t>
            </w:r>
          </w:p>
        </w:tc>
        <w:tc>
          <w:tcPr/>
          <w:p>
            <w:pPr>
              <w:pStyle w:val="Compact"/>
            </w:pPr>
            <w:r>
              <w:t xml:space="preserve">+0.97%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TSM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-2.38%</w:t>
            </w:r>
          </w:p>
        </w:tc>
        <w:tc>
          <w:tcPr/>
          <w:p>
            <w:pPr>
              <w:pStyle w:val="Compact"/>
            </w:pPr>
            <w:r>
              <w:t xml:space="preserve">+0.75%</w:t>
            </w:r>
          </w:p>
        </w:tc>
        <w:tc>
          <w:tcPr/>
          <w:p>
            <w:pPr>
              <w:pStyle w:val="Compact"/>
            </w:pPr>
            <w:r>
              <w:t xml:space="preserve">-1.65%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AVGO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-1.46%</w:t>
            </w:r>
          </w:p>
        </w:tc>
        <w:tc>
          <w:tcPr/>
          <w:p>
            <w:pPr>
              <w:pStyle w:val="Compact"/>
            </w:pPr>
            <w:r>
              <w:t xml:space="preserve">+0.21%</w:t>
            </w:r>
          </w:p>
        </w:tc>
        <w:tc>
          <w:tcPr/>
          <w:p>
            <w:pPr>
              <w:pStyle w:val="Compact"/>
            </w:pPr>
            <w:r>
              <w:t xml:space="preserve">-1.26%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-3.28%</w:t>
            </w:r>
          </w:p>
        </w:tc>
        <w:tc>
          <w:tcPr/>
          <w:p>
            <w:pPr>
              <w:pStyle w:val="Compact"/>
            </w:pPr>
            <w:r>
              <w:t xml:space="preserve">+5.47%</w:t>
            </w:r>
          </w:p>
        </w:tc>
        <w:tc>
          <w:tcPr/>
          <w:p>
            <w:pPr>
              <w:pStyle w:val="Compact"/>
            </w:pPr>
            <w:r>
              <w:t xml:space="preserve">+2.01%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AMD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-2.97%</w:t>
            </w:r>
          </w:p>
        </w:tc>
        <w:tc>
          <w:tcPr/>
          <w:p>
            <w:pPr>
              <w:pStyle w:val="Compact"/>
            </w:pPr>
            <w:r>
              <w:t xml:space="preserve">-0.07%</w:t>
            </w:r>
          </w:p>
        </w:tc>
        <w:tc>
          <w:tcPr/>
          <w:p>
            <w:pPr>
              <w:pStyle w:val="Compact"/>
            </w:pPr>
            <w:r>
              <w:t xml:space="preserve">-3.03%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MRVL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-4.04%</w:t>
            </w:r>
          </w:p>
        </w:tc>
        <w:tc>
          <w:tcPr/>
          <w:p>
            <w:pPr>
              <w:pStyle w:val="Compact"/>
            </w:pPr>
            <w:r>
              <w:t xml:space="preserve">+1.37%</w:t>
            </w:r>
          </w:p>
        </w:tc>
        <w:tc>
          <w:tcPr/>
          <w:p>
            <w:pPr>
              <w:pStyle w:val="Compact"/>
            </w:pPr>
            <w:r>
              <w:t xml:space="preserve">-2.72%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-4.36%</w:t>
            </w:r>
          </w:p>
        </w:tc>
        <w:tc>
          <w:tcPr/>
          <w:p>
            <w:pPr>
              <w:pStyle w:val="Compact"/>
            </w:pPr>
            <w:r>
              <w:t xml:space="preserve">+1.14%</w:t>
            </w:r>
          </w:p>
        </w:tc>
        <w:tc>
          <w:tcPr/>
          <w:p>
            <w:pPr>
              <w:pStyle w:val="Compact"/>
            </w:pPr>
            <w:r>
              <w:t xml:space="preserve">-3.27%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CIEN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-4.53%</w:t>
            </w:r>
          </w:p>
        </w:tc>
        <w:tc>
          <w:tcPr/>
          <w:p>
            <w:pPr>
              <w:pStyle w:val="Compact"/>
            </w:pPr>
            <w:r>
              <w:t xml:space="preserve">+3.38%</w:t>
            </w:r>
          </w:p>
        </w:tc>
        <w:tc>
          <w:tcPr/>
          <w:p>
            <w:pPr>
              <w:pStyle w:val="Compact"/>
            </w:pPr>
            <w:r>
              <w:t xml:space="preserve">-1.31%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COHR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-4.00%</w:t>
            </w:r>
          </w:p>
        </w:tc>
        <w:tc>
          <w:tcPr/>
          <w:p>
            <w:pPr>
              <w:pStyle w:val="Compact"/>
            </w:pPr>
            <w:r>
              <w:t xml:space="preserve">-0.87%</w:t>
            </w:r>
          </w:p>
        </w:tc>
        <w:tc>
          <w:tcPr/>
          <w:p>
            <w:pPr>
              <w:pStyle w:val="Compact"/>
            </w:pPr>
            <w:r>
              <w:t xml:space="preserve">-4.83%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CRWV</w:t>
            </w:r>
          </w:p>
        </w:tc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-1.78%</w:t>
            </w:r>
          </w:p>
        </w:tc>
        <w:tc>
          <w:tcPr/>
          <w:p>
            <w:pPr>
              <w:pStyle w:val="Compact"/>
            </w:pPr>
            <w:r>
              <w:t xml:space="preserve">+5.40%</w:t>
            </w:r>
          </w:p>
        </w:tc>
        <w:tc>
          <w:tcPr/>
          <w:p>
            <w:pPr>
              <w:pStyle w:val="Compact"/>
            </w:pPr>
            <w:r>
              <w:t xml:space="preserve">+3.53%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PLTR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-2.58%</w:t>
            </w:r>
          </w:p>
        </w:tc>
        <w:tc>
          <w:tcPr/>
          <w:p>
            <w:pPr>
              <w:pStyle w:val="Compact"/>
            </w:pPr>
            <w:r>
              <w:t xml:space="preserve">+1.95%</w:t>
            </w:r>
          </w:p>
        </w:tc>
        <w:tc>
          <w:tcPr/>
          <w:p>
            <w:pPr>
              <w:pStyle w:val="Compact"/>
            </w:pPr>
            <w:r>
              <w:t xml:space="preserve">-0.68%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RKLB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-9.24%</w:t>
            </w:r>
          </w:p>
        </w:tc>
        <w:tc>
          <w:tcPr/>
          <w:p>
            <w:pPr>
              <w:pStyle w:val="Compact"/>
            </w:pPr>
            <w:r>
              <w:t xml:space="preserve">+2.63%</w:t>
            </w:r>
          </w:p>
        </w:tc>
        <w:tc>
          <w:tcPr/>
          <w:p>
            <w:pPr>
              <w:pStyle w:val="Compact"/>
            </w:pPr>
            <w:r>
              <w:t xml:space="preserve">-6.86%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CRWD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-2.51%</w:t>
            </w:r>
          </w:p>
        </w:tc>
        <w:tc>
          <w:tcPr/>
          <w:p>
            <w:pPr>
              <w:pStyle w:val="Compact"/>
            </w:pPr>
            <w:r>
              <w:t xml:space="preserve">+0.63%</w:t>
            </w:r>
          </w:p>
        </w:tc>
        <w:tc>
          <w:tcPr/>
          <w:p>
            <w:pPr>
              <w:pStyle w:val="Compact"/>
            </w:pPr>
            <w:r>
              <w:t xml:space="preserve">-1.90%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AAPL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+0.61%</w:t>
            </w:r>
          </w:p>
        </w:tc>
        <w:tc>
          <w:tcPr/>
          <w:p>
            <w:pPr>
              <w:pStyle w:val="Compact"/>
            </w:pPr>
            <w:r>
              <w:t xml:space="preserve">-1.27%</w:t>
            </w:r>
          </w:p>
        </w:tc>
        <w:tc>
          <w:tcPr/>
          <w:p>
            <w:pPr>
              <w:pStyle w:val="Compact"/>
            </w:pPr>
            <w:r>
              <w:t xml:space="preserve">-0.67%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TSLA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-1.35%</w:t>
            </w:r>
          </w:p>
        </w:tc>
        <w:tc>
          <w:tcPr/>
          <w:p>
            <w:pPr>
              <w:pStyle w:val="Compact"/>
            </w:pPr>
            <w:r>
              <w:t xml:space="preserve">+0.00%</w:t>
            </w:r>
          </w:p>
        </w:tc>
        <w:tc>
          <w:tcPr/>
          <w:p>
            <w:pPr>
              <w:pStyle w:val="Compact"/>
            </w:pPr>
            <w:r>
              <w:t xml:space="preserve">-1.35%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CCL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+0.15%</w:t>
            </w:r>
          </w:p>
        </w:tc>
        <w:tc>
          <w:tcPr/>
          <w:p>
            <w:pPr>
              <w:pStyle w:val="Compact"/>
            </w:pPr>
            <w:r>
              <w:t xml:space="preserve">+1.42%</w:t>
            </w:r>
          </w:p>
        </w:tc>
        <w:tc>
          <w:tcPr/>
          <w:p>
            <w:pPr>
              <w:pStyle w:val="Compact"/>
            </w:pPr>
            <w:r>
              <w:t xml:space="preserve">+1.58%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AMZN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-1.53%</w:t>
            </w:r>
          </w:p>
        </w:tc>
        <w:tc>
          <w:tcPr/>
          <w:p>
            <w:pPr>
              <w:pStyle w:val="Compact"/>
            </w:pPr>
            <w:r>
              <w:t xml:space="preserve">+1.22%</w:t>
            </w:r>
          </w:p>
        </w:tc>
        <w:tc>
          <w:tcPr/>
          <w:p>
            <w:pPr>
              <w:pStyle w:val="Compact"/>
            </w:pPr>
            <w:r>
              <w:t xml:space="preserve">-0.33%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+2.77%</w:t>
            </w:r>
          </w:p>
        </w:tc>
        <w:tc>
          <w:tcPr/>
          <w:p>
            <w:pPr>
              <w:pStyle w:val="Compact"/>
            </w:pPr>
            <w:r>
              <w:t xml:space="preserve">-1.07%</w:t>
            </w:r>
          </w:p>
        </w:tc>
        <w:tc>
          <w:tcPr/>
          <w:p>
            <w:pPr>
              <w:pStyle w:val="Compact"/>
            </w:pPr>
            <w:r>
              <w:t xml:space="preserve">+1.67%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+1.28%</w:t>
            </w:r>
          </w:p>
        </w:tc>
        <w:tc>
          <w:tcPr/>
          <w:p>
            <w:pPr>
              <w:pStyle w:val="Compact"/>
            </w:pPr>
            <w:r>
              <w:t xml:space="preserve">-1.66%</w:t>
            </w:r>
          </w:p>
        </w:tc>
        <w:tc>
          <w:tcPr/>
          <w:p>
            <w:pPr>
              <w:pStyle w:val="Compact"/>
            </w:pPr>
            <w:r>
              <w:t xml:space="preserve">-0.40%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HD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+1.72%</w:t>
            </w:r>
          </w:p>
        </w:tc>
        <w:tc>
          <w:tcPr/>
          <w:p>
            <w:pPr>
              <w:pStyle w:val="Compact"/>
            </w:pPr>
            <w:r>
              <w:t xml:space="preserve">+2.74%</w:t>
            </w:r>
          </w:p>
        </w:tc>
        <w:tc>
          <w:tcPr/>
          <w:p>
            <w:pPr>
              <w:pStyle w:val="Compact"/>
            </w:pPr>
            <w:r>
              <w:t xml:space="preserve">+4.51%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TGT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+1.33%</w:t>
            </w:r>
          </w:p>
        </w:tc>
        <w:tc>
          <w:tcPr/>
          <w:p>
            <w:pPr>
              <w:pStyle w:val="Compact"/>
            </w:pPr>
            <w:r>
              <w:t xml:space="preserve">-0.48%</w:t>
            </w:r>
          </w:p>
        </w:tc>
        <w:tc>
          <w:tcPr/>
          <w:p>
            <w:pPr>
              <w:pStyle w:val="Compact"/>
            </w:pPr>
            <w:r>
              <w:t xml:space="preserve">+0.85%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XRT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  <w:tc>
          <w:tcPr/>
          <w:p>
            <w:pPr>
              <w:pStyle w:val="Compact"/>
            </w:pPr>
            <w:r>
              <w:t xml:space="preserve">+0.14%</w:t>
            </w:r>
          </w:p>
        </w:tc>
        <w:tc>
          <w:tcPr/>
          <w:p>
            <w:pPr>
              <w:pStyle w:val="Compact"/>
            </w:pPr>
            <w:r>
              <w:t xml:space="preserve">+3.54%</w:t>
            </w:r>
          </w:p>
        </w:tc>
        <w:tc>
          <w:tcPr/>
          <w:p>
            <w:pPr>
              <w:pStyle w:val="Compact"/>
            </w:pPr>
            <w:r>
              <w:t xml:space="preserve">+3.68%</w:t>
            </w:r>
          </w:p>
        </w:tc>
      </w:tr>
    </w:tbl>
    <w:bookmarkEnd w:id="13"/>
    <w:bookmarkStart w:id="38" w:name="calibration-brier-lower-better"/>
    <w:p>
      <w:pPr>
        <w:pStyle w:val="Heading2"/>
      </w:pPr>
      <w:r>
        <w:t xml:space="preserve">5. Calibration (Brier, lower = better)</w:t>
      </w:r>
    </w:p>
    <w:p>
      <w:pPr>
        <w:pStyle w:val="FirstParagraph"/>
      </w:pPr>
      <w:r>
        <w:t xml:space="preserve">OS locked 0.875 | base rate 1.261 | uniform 0.667. Base-rate source: FRED PPIFIS </w:t>
      </w:r>
      <w:r>
        <w:rPr>
          <w:rFonts w:hint="eastAsia"/>
        </w:rPr>
        <w:t xml:space="preserve">过去</w:t>
      </w:r>
      <w:r>
        <w:t xml:space="preserve"> 36 </w:t>
      </w:r>
      <w:r>
        <w:rPr>
          <w:rFonts w:hint="eastAsia"/>
        </w:rPr>
        <w:t xml:space="preserve">个月最终需求环比（四舍五入后</w:t>
      </w:r>
      <w:r>
        <w:t xml:space="preserve"> ≤0.2 / 0.3–0.6 / </w:t>
      </w:r>
      <w:r>
        <w:rPr>
          <w:rFonts w:hint="eastAsia"/>
        </w:rPr>
        <w:t xml:space="preserve">≥0.7）；事后计算，仅用公布前数据.</w:t>
      </w:r>
      <w:r>
        <w:t xml:space="preserve"> </w:t>
      </w:r>
      <w:r>
        <w:t xml:space="preserve">## 6. Chain post-mortem, steelman, what to watch</w:t>
      </w:r>
      <w:r>
        <w:t xml:space="preserve"> </w:t>
      </w:r>
      <w:r>
        <w:t xml:space="preserve">See the Chinese edition §4–6 (full reasoning). Source ledger and assumption register as in ZH §8–9.</w:t>
      </w:r>
      <w:r>
        <w:t xml:space="preserve"> </w:t>
      </w:r>
      <w:r>
        <w:t xml:space="preserve">## Charts</w:t>
      </w:r>
      <w:r>
        <w:t xml:space="preserve"> </w:t>
      </w:r>
      <w:r>
        <w:drawing>
          <wp:inline>
            <wp:extent cx="5334000" cy="3000374"/>
            <wp:effectExtent b="0" l="0" r="0" t="0"/>
            <wp:docPr descr="01_expectation_gap" title="" id="15" name="Picture"/>
            <a:graphic>
              <a:graphicData uri="http://schemas.openxmlformats.org/drawingml/2006/picture">
                <pic:pic>
                  <pic:nvPicPr>
                    <pic:cNvPr descr="images/01_expectation_g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2_components" title="" id="18" name="Picture"/>
            <a:graphic>
              <a:graphicData uri="http://schemas.openxmlformats.org/drawingml/2006/picture">
                <pic:pic>
                  <pic:nvPicPr>
                    <pic:cNvPr descr="images/02_component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3_rates_path" title="" id="21" name="Picture"/>
            <a:graphic>
              <a:graphicData uri="http://schemas.openxmlformats.org/drawingml/2006/picture">
                <pic:pic>
                  <pic:nvPicPr>
                    <pic:cNvPr descr="images/03_rates_path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4_kalshi_path" title="" id="24" name="Picture"/>
            <a:graphic>
              <a:graphicData uri="http://schemas.openxmlformats.org/drawingml/2006/picture">
                <pic:pic>
                  <pic:nvPicPr>
                    <pic:cNvPr descr="images/04_kalshi_path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5_watchlist_movers" title="" id="27" name="Picture"/>
            <a:graphic>
              <a:graphicData uri="http://schemas.openxmlformats.org/drawingml/2006/picture">
                <pic:pic>
                  <pic:nvPicPr>
                    <pic:cNvPr descr="images/05_watchlist_mover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6_calibration_brier" title="" id="30" name="Picture"/>
            <a:graphic>
              <a:graphicData uri="http://schemas.openxmlformats.org/drawingml/2006/picture">
                <pic:pic>
                  <pic:nvPicPr>
                    <pic:cNvPr descr="images/06_calibration_brie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7_chain_postmortem" title="" id="33" name="Picture"/>
            <a:graphic>
              <a:graphicData uri="http://schemas.openxmlformats.org/drawingml/2006/picture">
                <pic:pic>
                  <pic:nvPicPr>
                    <pic:cNvPr descr="images/07_chain_postmortem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000374"/>
            <wp:effectExtent b="0" l="0" r="0" t="0"/>
            <wp:docPr descr="08_reaction_decomposition" title="" id="36" name="Picture"/>
            <a:graphic>
              <a:graphicData uri="http://schemas.openxmlformats.org/drawingml/2006/picture">
                <pic:pic>
                  <pic:nvPicPr>
                    <pic:cNvPr descr="images/08_reaction_decomposi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2026-10-16T00:00:25Z</dcterms:created>
  <dcterms:modified xsi:type="dcterms:W3CDTF">2026-10-16T00:00:25Z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