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7d28b2be31a65ce634a745e27a02e263f0aa3c"/>
    <w:p>
      <w:pPr>
        <w:pStyle w:val="Heading1"/>
      </w:pPr>
      <w:r>
        <w:t xml:space="preserve">Weekly Radar &amp; Review — 2026-W42 (2026-10-12 – 2026-10-16)</w:t>
      </w:r>
    </w:p>
    <w:p>
      <w:pPr>
        <w:pStyle w:val="BlockText"/>
      </w:pPr>
      <w:r>
        <w:t xml:space="preserve">v20261017-0807-2026-W42 | built 2026-10-17 08:07 SGT | Not investment advice | Data: yfinance closes (base = close on/before 2026-10-09), OS event books, dated press sources.</w:t>
      </w:r>
    </w:p>
    <w:bookmarkStart w:id="9" w:name="the-week-in-one-paragraph"/>
    <w:p>
      <w:pPr>
        <w:pStyle w:val="Heading2"/>
      </w:pPr>
      <w:r>
        <w:t xml:space="preserve">1. The week in one paragraph</w:t>
      </w:r>
    </w:p>
    <w:p>
      <w:pPr>
        <w:pStyle w:val="FirstParagraph"/>
      </w:pPr>
      <w:r>
        <w:t xml:space="preserve">AI/semis de-rated hard: Nasdaq -4.5%, SOX -11.4%, S&amp;P -1.9%, Dow +0.7% (rotation into industrials/energy). Two overlapping shocks: (1) CXMT’s higher-density server-DRAM progress triggered memory-supply fears; (2) hot CPI/PPI, Brent touching $110 and widening credit spreads for levered AI borrowers (a CoreWeave bond at 15%; Broadcom/Intel CEO warnings) put the financing of the debt-funded AI build-out in question. Note the 10Y yield FELL ~15bp on the week — the stress was in credit and crowding, not Treasuries. Coverage median -14.5%; worst CIEN -26%、MXL -26%、COHR -26%; best AAPL +2%、CCL -2%、QCOM -2%.</w:t>
      </w:r>
    </w:p>
    <w:bookmarkEnd w:id="9"/>
    <w:bookmarkStart w:id="10" w:name="timeline-fact-dated-sources"/>
    <w:p>
      <w:pPr>
        <w:pStyle w:val="Heading2"/>
      </w:pPr>
      <w:r>
        <w:t xml:space="preserve">2. Timeline (FACT, dated sources)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10/10–12 </w:t>
      </w:r>
      <w:r>
        <w:rPr>
          <w:rFonts w:hint="eastAsia"/>
          <w:b/>
          <w:bCs/>
        </w:rPr>
        <w:t xml:space="preserve">周末–周一</w:t>
      </w:r>
      <w:r>
        <w:t xml:space="preserve">: CXMT (ChangXin Memory) announced a higher-density server-DRAM architecture; SOX −2.7% Mon; Samsung −10%, SK Hynix −8%. [cn13 / reu]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10/12 </w:t>
      </w:r>
      <w:r>
        <w:rPr>
          <w:rFonts w:hint="eastAsia"/>
          <w:b/>
          <w:bCs/>
        </w:rPr>
        <w:t xml:space="preserve">周一</w:t>
      </w:r>
      <w:r>
        <w:t xml:space="preserve">: Broadcom’s Hock Tan and Intel’s CEO warned financing could become a major headwind to the AI build-out. [cn15]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10/13 </w:t>
      </w:r>
      <w:r>
        <w:rPr>
          <w:rFonts w:hint="eastAsia"/>
          <w:b/>
          <w:bCs/>
        </w:rPr>
        <w:t xml:space="preserve">周二</w:t>
      </w:r>
      <w:r>
        <w:t xml:space="preserve">: KOSPI fell &gt;6% (5th straight day of Korean chip selling), Kioxia −13%; a CoreWeave bond issued in June yielded 15% vs 9.625% at issue. [reu]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10/14 </w:t>
      </w:r>
      <w:r>
        <w:rPr>
          <w:rFonts w:hint="eastAsia"/>
          <w:b/>
          <w:bCs/>
        </w:rPr>
        <w:t xml:space="preserve">周三</w:t>
      </w:r>
      <w:r>
        <w:t xml:space="preserve">: Sep CPI 3.7% YoY / 0.6% MoM (gasoline-led), core 2.6% YoY → OS class HOT. [OS CPI post book]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10/15 </w:t>
      </w:r>
      <w:r>
        <w:rPr>
          <w:rFonts w:hint="eastAsia"/>
          <w:b/>
          <w:bCs/>
        </w:rPr>
        <w:t xml:space="preserve">周四</w:t>
      </w:r>
      <w:r>
        <w:t xml:space="preserve">: Hot PPI; retail headline strong, control group soft; TSMC beat the top of guidance; top-20 global AI/semis shed &gt;$1tn so far this week (CNBC). [OS post books / cn15]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10/16 </w:t>
      </w:r>
      <w:r>
        <w:rPr>
          <w:rFonts w:hint="eastAsia"/>
          <w:b/>
          <w:bCs/>
        </w:rPr>
        <w:t xml:space="preserve">周五</w:t>
      </w:r>
      <w:r>
        <w:rPr>
          <w:b/>
          <w:bCs/>
        </w:rPr>
        <w:t xml:space="preserve"> SGT</w:t>
      </w:r>
      <w:r>
        <w:t xml:space="preserve">: Warsh declined to prejudge October → Kalshi Oct hike ~30%→13–15%; Dec ~76–78% unchanged. [cnw / OS Warsh post book]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10/16 </w:t>
      </w:r>
      <w:r>
        <w:rPr>
          <w:rFonts w:hint="eastAsia"/>
          <w:b/>
          <w:bCs/>
        </w:rPr>
        <w:t xml:space="preserve">周五</w:t>
      </w:r>
      <w:r>
        <w:rPr>
          <w:b/>
          <w:bCs/>
        </w:rPr>
        <w:t xml:space="preserve"> US</w:t>
      </w:r>
      <w:r>
        <w:t xml:space="preserve">: Nasdaq −2.1%, S&amp;P −1.1%, SOX −3.83%, VIX +~21% to ~20; Brent touched $110 (first since May, Hormuz); CRWV −~12% (&gt;25% for the week). Nasdaq’s worst week since late June. [ap / sch / yh]</w:t>
      </w:r>
    </w:p>
    <w:bookmarkEnd w:id="10"/>
    <w:bookmarkStart w:id="11" w:name="event-calibration"/>
    <w:p>
      <w:pPr>
        <w:pStyle w:val="Heading2"/>
      </w:pPr>
      <w:r>
        <w:t xml:space="preserve">3. Event calibration</w:t>
      </w:r>
    </w:p>
    <w:p>
      <w:pPr>
        <w:pStyle w:val="Compact"/>
        <w:numPr>
          <w:ilvl w:val="0"/>
          <w:numId w:val="1002"/>
        </w:numPr>
      </w:pPr>
      <w:r>
        <w:t xml:space="preserve">Fed Chair Warsh x IMF Georgieva → neutral: Brier OS 0.38 vs uniform 0.667 vs base None</w:t>
      </w:r>
    </w:p>
    <w:p>
      <w:pPr>
        <w:pStyle w:val="Compact"/>
        <w:numPr>
          <w:ilvl w:val="0"/>
          <w:numId w:val="1002"/>
        </w:numPr>
      </w:pPr>
      <w:r>
        <w:t xml:space="preserve">TSM Q3 2026 Earnings → beat: Brier OS 0.755 vs uniform 0.667 vs base 0.167</w:t>
      </w:r>
    </w:p>
    <w:p>
      <w:pPr>
        <w:pStyle w:val="Compact"/>
        <w:numPr>
          <w:ilvl w:val="0"/>
          <w:numId w:val="1002"/>
        </w:numPr>
      </w:pPr>
      <w:r>
        <w:t xml:space="preserve">US CPI Sep 2026 → HOT </w:t>
      </w:r>
      <w:r>
        <w:rPr>
          <w:rFonts w:hint="eastAsia"/>
        </w:rPr>
        <w:t xml:space="preserve">偏热:</w:t>
      </w:r>
      <w:r>
        <w:t xml:space="preserve"> Brier OS 0.875 vs uniform 0.667 vs base 0.349</w:t>
      </w:r>
    </w:p>
    <w:p>
      <w:pPr>
        <w:pStyle w:val="Compact"/>
        <w:numPr>
          <w:ilvl w:val="0"/>
          <w:numId w:val="1002"/>
        </w:numPr>
      </w:pPr>
      <w:r>
        <w:t xml:space="preserve">US PPI Sep 2026 → hot: Brier OS 0.875 vs uniform 0.667 vs base 1.261</w:t>
      </w:r>
    </w:p>
    <w:p>
      <w:pPr>
        <w:pStyle w:val="Compact"/>
        <w:numPr>
          <w:ilvl w:val="0"/>
          <w:numId w:val="1002"/>
        </w:numPr>
      </w:pPr>
      <w:r>
        <w:t xml:space="preserve">US Retail Sales Sep 2026 → strong: Brier OS 1.005 vs uniform 0.667 vs base 0.724</w:t>
      </w:r>
    </w:p>
    <w:p>
      <w:pPr>
        <w:pStyle w:val="FirstParagraph"/>
      </w:pPr>
      <w:r>
        <w:t xml:space="preserve">We beat uniform on only 1/5 events: outcomes kept landing in tails we under-weighted. Fix already live (10/16): regime-aware calibration caps the middle scenario at 45% in high-vol regimes; earnings beats split into tailwind/headwind playbooks; central-bank pre-books add an</w:t>
      </w:r>
      <w:r>
        <w:t xml:space="preserve"> </w:t>
      </w:r>
      <w:r>
        <w:t xml:space="preserve">‘other officials’</w:t>
      </w:r>
      <w:r>
        <w:t xml:space="preserve"> </w:t>
      </w:r>
      <w:r>
        <w:t xml:space="preserve">panel.</w:t>
      </w:r>
    </w:p>
    <w:bookmarkEnd w:id="11"/>
    <w:bookmarkStart w:id="12" w:name="themes"/>
    <w:p>
      <w:pPr>
        <w:pStyle w:val="Heading2"/>
      </w:pPr>
      <w:r>
        <w:t xml:space="preserve">4. Themes</w:t>
      </w:r>
    </w:p>
    <w:p>
      <w:pPr>
        <w:pStyle w:val="FirstParagraph"/>
      </w:pPr>
      <w:r>
        <w:t xml:space="preserve">Weakest 1-week: JP Memory </w:t>
      </w:r>
      <w:r>
        <w:rPr>
          <w:rFonts w:hint="eastAsia"/>
        </w:rPr>
        <w:t xml:space="preserve">存储</w:t>
      </w:r>
      <w:r>
        <w:t xml:space="preserve"> -25.3%; KR Components </w:t>
      </w:r>
      <w:r>
        <w:rPr>
          <w:rFonts w:hint="eastAsia"/>
        </w:rPr>
        <w:t xml:space="preserve">被动元件</w:t>
      </w:r>
      <w:r>
        <w:t xml:space="preserve"> -23.2%; KR Advanced Packaging </w:t>
      </w:r>
      <w:r>
        <w:rPr>
          <w:rFonts w:hint="eastAsia"/>
        </w:rPr>
        <w:t xml:space="preserve">先进封测</w:t>
      </w:r>
      <w:r>
        <w:t xml:space="preserve"> -21.3%; KR Memory </w:t>
      </w:r>
      <w:r>
        <w:rPr>
          <w:rFonts w:hint="eastAsia"/>
        </w:rPr>
        <w:t xml:space="preserve">存储</w:t>
      </w:r>
      <w:r>
        <w:t xml:space="preserve"> -21.0%; KR PCB </w:t>
      </w:r>
      <w:r>
        <w:rPr>
          <w:rFonts w:hint="eastAsia"/>
        </w:rPr>
        <w:t xml:space="preserve">印刷电路板</w:t>
      </w:r>
      <w:r>
        <w:t xml:space="preserve"> -20.8%. Strongest: JP Power Grid </w:t>
      </w:r>
      <w:r>
        <w:rPr>
          <w:rFonts w:hint="eastAsia"/>
        </w:rPr>
        <w:t xml:space="preserve">电网</w:t>
      </w:r>
      <w:r>
        <w:t xml:space="preserve"> +3.1%; KR Battery </w:t>
      </w:r>
      <w:r>
        <w:rPr>
          <w:rFonts w:hint="eastAsia"/>
        </w:rPr>
        <w:t xml:space="preserve">电池</w:t>
      </w:r>
      <w:r>
        <w:t xml:space="preserve"> +0.5%; KR Defense/Space </w:t>
      </w:r>
      <w:r>
        <w:rPr>
          <w:rFonts w:hint="eastAsia"/>
        </w:rPr>
        <w:t xml:space="preserve">国防航天</w:t>
      </w:r>
      <w:r>
        <w:t xml:space="preserve"> -0.3%.</w:t>
      </w:r>
    </w:p>
    <w:bookmarkEnd w:id="12"/>
    <w:bookmarkStart w:id="13" w:name="thesis-steelman-falsifier"/>
    <w:p>
      <w:pPr>
        <w:pStyle w:val="Heading2"/>
      </w:pPr>
      <w:r>
        <w:t xml:space="preserve">5. Thesis, steelman, falsifier</w:t>
      </w:r>
    </w:p>
    <w:p>
      <w:pPr>
        <w:pStyle w:val="FirstParagraph"/>
      </w:pPr>
      <w:r>
        <w:t xml:space="preserve">Our read: a financing-spread, memory-competition and de-crowding de-rating, not (yet) a demand break — we saw no evidence of EPS cuts and TSMC now sees FY26 USD revenue growth of ~44%. Steelman: financing stress at neoclouds becomes a demand problem for GPUs and memory. Falsifiers: neocloud capex cuts, falling GPU rental prices, hyperscaler capex guide-downs in late-October earnings.</w:t>
      </w:r>
    </w:p>
    <w:bookmarkEnd w:id="13"/>
    <w:bookmarkStart w:id="14" w:name="next-two-weeks"/>
    <w:p>
      <w:pPr>
        <w:pStyle w:val="Heading2"/>
      </w:pPr>
      <w:r>
        <w:t xml:space="preserve">6. Next two weeks</w:t>
      </w:r>
    </w:p>
    <w:p>
      <w:pPr>
        <w:pStyle w:val="Compact"/>
        <w:numPr>
          <w:ilvl w:val="0"/>
          <w:numId w:val="1003"/>
        </w:numPr>
      </w:pPr>
      <w:r>
        <w:t xml:space="preserve">2026-10-21: SPCX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Compact"/>
        <w:numPr>
          <w:ilvl w:val="0"/>
          <w:numId w:val="1003"/>
        </w:numPr>
      </w:pPr>
      <w:r>
        <w:t xml:space="preserve">2026-10-22: TSLA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Compact"/>
        <w:numPr>
          <w:ilvl w:val="0"/>
          <w:numId w:val="1003"/>
        </w:numPr>
      </w:pPr>
      <w:r>
        <w:t xml:space="preserve">2026-10-23: MXL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Compact"/>
        <w:numPr>
          <w:ilvl w:val="0"/>
          <w:numId w:val="1003"/>
        </w:numPr>
      </w:pPr>
      <w:r>
        <w:t xml:space="preserve">2026-10-27: GLW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Compact"/>
        <w:numPr>
          <w:ilvl w:val="0"/>
          <w:numId w:val="1003"/>
        </w:numPr>
      </w:pPr>
      <w:r>
        <w:t xml:space="preserve">2026-10-27/28: FOMC decision + Chair Warsh press </w:t>
      </w:r>
      <w:r>
        <w:rPr>
          <w:rFonts w:hint="eastAsia"/>
        </w:rPr>
        <w:t xml:space="preserve">conference｜FOMC</w:t>
      </w:r>
      <w:r>
        <w:t xml:space="preserve"> </w:t>
      </w:r>
      <w:r>
        <w:rPr>
          <w:rFonts w:hint="eastAsia"/>
        </w:rPr>
        <w:t xml:space="preserve">利率决议</w:t>
      </w:r>
      <w:r>
        <w:t xml:space="preserve"> — CONFIRMED (federalreserve.gov)</w:t>
      </w:r>
    </w:p>
    <w:p>
      <w:pPr>
        <w:pStyle w:val="Compact"/>
        <w:numPr>
          <w:ilvl w:val="0"/>
          <w:numId w:val="1003"/>
        </w:numPr>
      </w:pPr>
      <w:r>
        <w:t xml:space="preserve">2026-10-29: EME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Compact"/>
        <w:numPr>
          <w:ilvl w:val="0"/>
          <w:numId w:val="1003"/>
        </w:numPr>
      </w:pPr>
      <w:r>
        <w:t xml:space="preserve">2026-10-29: KLAC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Compact"/>
        <w:numPr>
          <w:ilvl w:val="0"/>
          <w:numId w:val="1003"/>
        </w:numPr>
      </w:pPr>
      <w:r>
        <w:t xml:space="preserve">2026-10-29: PWR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Compact"/>
        <w:numPr>
          <w:ilvl w:val="0"/>
          <w:numId w:val="1003"/>
        </w:numPr>
      </w:pPr>
      <w:r>
        <w:t xml:space="preserve">2026-10-29: SIMO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Compact"/>
        <w:numPr>
          <w:ilvl w:val="0"/>
          <w:numId w:val="1003"/>
        </w:numPr>
      </w:pPr>
      <w:r>
        <w:t xml:space="preserve">2026-10-29: US GDP Q3 advance + Sep PCE — TENTATIVE (verify bea.gov)</w:t>
      </w:r>
    </w:p>
    <w:p>
      <w:pPr>
        <w:pStyle w:val="Compact"/>
        <w:numPr>
          <w:ilvl w:val="0"/>
          <w:numId w:val="1003"/>
        </w:numPr>
      </w:pPr>
      <w:r>
        <w:t xml:space="preserve">2026-10-29/30: BOJ MPM + Outlook </w:t>
      </w:r>
      <w:r>
        <w:rPr>
          <w:rFonts w:hint="eastAsia"/>
        </w:rPr>
        <w:t xml:space="preserve">Report｜日本央行会议</w:t>
      </w:r>
      <w:r>
        <w:t xml:space="preserve"> — CONFIRMED (boj.or.jp)</w:t>
      </w:r>
    </w:p>
    <w:p>
      <w:pPr>
        <w:pStyle w:val="Compact"/>
        <w:numPr>
          <w:ilvl w:val="0"/>
          <w:numId w:val="1003"/>
        </w:numPr>
      </w:pPr>
      <w:r>
        <w:t xml:space="preserve">2026-10-30: INTC earnings + call </w:t>
      </w:r>
      <w:r>
        <w:rPr>
          <w:rFonts w:hint="eastAsia"/>
        </w:rPr>
        <w:t xml:space="preserve">财报</w:t>
      </w:r>
      <w:r>
        <w:t xml:space="preserve"> — TENTATIVE (Yahoo calendar; confirm on IR)</w:t>
      </w:r>
    </w:p>
    <w:p>
      <w:pPr>
        <w:pStyle w:val="FirstParagraph"/>
      </w:pPr>
      <w:r>
        <w:t xml:space="preserve">Valuation: no scenario revisions this week (price moves are not material information); TSM structure unchanged after earnings. Full teaching, source ledger and assumption register: Chinese edition.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2026-10-17T00:07:32Z</dcterms:created>
  <dcterms:modified xsi:type="dcterms:W3CDTF">2026-10-17T00:07:32Z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