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6-0756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$342.00。我们的Base模型认为每股价值约</w:t>
      </w:r>
      <w:r>
        <w:t xml:space="preserve"> </w:t>
      </w:r>
      <w:r>
        <w:rPr>
          <w:rFonts w:hint="eastAsia"/>
        </w:rPr>
        <w:t xml:space="preserve">$154（-55.0%）。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10.4%；m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2,266.3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10.4%；价格隐含增速</w:t>
      </w:r>
      <w:r>
        <w:t xml:space="preserve"> 31.4%。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$87 / Base $154 / Bull </w:t>
      </w:r>
      <w:r>
        <w:rPr>
          <w:rFonts w:hint="eastAsia"/>
        </w:rPr>
        <w:t xml:space="preserve">$226；概率加权</w:t>
      </w:r>
      <w:r>
        <w:t xml:space="preserve"> $155。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0a6e61e0a29722bee307b85731539f1252fead"/>
    <w:p>
      <w:pPr>
        <w:pStyle w:val="Heading1"/>
      </w:pPr>
      <w:r>
        <w:t xml:space="preserve">AAPL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$342.00; our Base model value ≈ $154 (-55.0%).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10.4%; m = long-run FCF margin = 26.0%; W = 10.5%.</w:t>
      </w:r>
      <w:r>
        <w:t xml:space="preserve"> </w:t>
      </w:r>
      <w:r>
        <w:t xml:space="preserve">R₁ = R₀×(1+g₁) = 515.5 bn USD; FCF₁ = 147.6 bn USD; PV = FCF₁/(1+W) = 133.5 bn USD; 10 years + terminal → EV 2,266.3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10.4%; price-implied growth 31.4%.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$87 / Base $154 / Bull $226; weighted $155.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2026-10-15T23:58:12Z</dcterms:created>
  <dcterms:modified xsi:type="dcterms:W3CDTF">2026-10-15T23:58:12Z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