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4018ee74c554c8413c98c8311ccc941c5790b6"/>
    <w:p>
      <w:pPr>
        <w:pStyle w:val="Heading1"/>
      </w:pPr>
      <w:r>
        <w:t xml:space="preserve">AMAT Applied Materials,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$430.01｜市值</w:t>
      </w:r>
      <w:r>
        <w:t xml:space="preserve"> 341.3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应用材料是GAA、背面供电、HBM与先进封装材料工程转折的广谱受益者；中国收入占比与出口管制是主要变数。</w:t>
      </w:r>
    </w:p>
    <w:p>
      <w:pPr>
        <w:pStyle w:val="Compact"/>
        <w:numPr>
          <w:ilvl w:val="0"/>
          <w:numId w:val="1001"/>
        </w:numPr>
      </w:pPr>
      <w:r>
        <w:rPr>
          <w:rFonts w:hint="eastAsia"/>
          <w:b/>
          <w:bCs/>
        </w:rPr>
        <w:t xml:space="preserve">多头驱动</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1"/>
        </w:numPr>
      </w:pPr>
      <w:r>
        <w:rPr>
          <w:rFonts w:hint="eastAsia"/>
          <w:b/>
          <w:bCs/>
        </w:rPr>
        <w:t xml:space="preserve">空头驱动</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1"/>
        </w:numPr>
      </w:pPr>
      <w:r>
        <w:rPr>
          <w:rFonts w:hint="eastAsia"/>
          <w:b/>
          <w:bCs/>
        </w:rPr>
        <w:t xml:space="preserve">证伪条件</w:t>
      </w:r>
      <w:r>
        <w:rPr>
          <w:b/>
          <w:bCs/>
        </w:rPr>
        <w:t xml:space="preserve"> Falsifiers</w:t>
      </w:r>
      <w:r>
        <w:t xml:space="preserve">: Semi systems revenue guide down; China share drops without </w:t>
      </w:r>
      <w:r>
        <w:rPr>
          <w:rFonts w:hint="eastAsia"/>
        </w:rPr>
        <w:t xml:space="preserve">offset｜系统收入指引下修；中国下滑无补偿</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Semiconductor equipment (WFE) </w:t>
      </w:r>
      <w:r>
        <w:rPr>
          <w:rFonts w:hint="eastAsia"/>
        </w:rPr>
        <w:t xml:space="preserve">半导体设备</w:t>
      </w:r>
    </w:p>
    <w:p>
      <w:pPr>
        <w:pStyle w:val="Compact"/>
        <w:numPr>
          <w:ilvl w:val="0"/>
          <w:numId w:val="1002"/>
        </w:numPr>
      </w:pPr>
      <w:r>
        <w:rPr>
          <w:rFonts w:hint="eastAsia"/>
        </w:rPr>
        <w:t xml:space="preserve">业务分部</w:t>
      </w:r>
      <w:r>
        <w:t xml:space="preserve"> Segments: Semiconductor Systems </w:t>
      </w:r>
      <w:r>
        <w:rPr>
          <w:rFonts w:hint="eastAsia"/>
        </w:rPr>
        <w:t xml:space="preserve">半导体系统；Applied</w:t>
      </w:r>
      <w:r>
        <w:t xml:space="preserve"> Global Services </w:t>
      </w:r>
      <w:r>
        <w:rPr>
          <w:rFonts w:hint="eastAsia"/>
        </w:rPr>
        <w:t xml:space="preserve">服务；Display</w:t>
      </w:r>
      <w:r>
        <w:t xml:space="preserve"> </w:t>
      </w:r>
      <w:r>
        <w:rPr>
          <w:rFonts w:hint="eastAsia"/>
        </w:rPr>
        <w:t xml:space="preserve">显示</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02"/>
        </w:numPr>
      </w:pPr>
      <w:r>
        <w:rPr>
          <w:rFonts w:hint="eastAsia"/>
        </w:rPr>
        <w:t xml:space="preserve">主要客户:</w:t>
      </w:r>
      <w:r>
        <w:t xml:space="preserve"> TSMC, Samsung, Intel, memory makers, Chinese </w:t>
      </w:r>
      <w:r>
        <w:rPr>
          <w:rFonts w:hint="eastAsia"/>
        </w:rPr>
        <w:t xml:space="preserve">fabs｜台积电、三星、英特尔、存储厂、中国厂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Precision components, RF power, vacuum </w:t>
      </w:r>
      <w:r>
        <w:rPr>
          <w:rFonts w:hint="eastAsia"/>
        </w:rPr>
        <w:t xml:space="preserve">parts｜精密部件、射频电源、真空件</w:t>
      </w:r>
    </w:p>
    <w:p>
      <w:pPr>
        <w:pStyle w:val="Compact"/>
        <w:numPr>
          <w:ilvl w:val="0"/>
          <w:numId w:val="1003"/>
        </w:numPr>
      </w:pPr>
      <w:r>
        <w:rPr>
          <w:rFonts w:hint="eastAsia"/>
        </w:rPr>
        <w:t xml:space="preserve">竞争者</w:t>
      </w:r>
      <w:r>
        <w:t xml:space="preserve"> </w:t>
      </w:r>
      <w:r>
        <w:rPr>
          <w:rFonts w:hint="eastAsia"/>
        </w:rPr>
        <w:t xml:space="preserve">(含业外):</w:t>
      </w:r>
      <w:r>
        <w:t xml:space="preserve"> Lam Research, TEL, ASML, KLA, Chinese domestic (Naura, </w:t>
      </w:r>
      <w:r>
        <w:rPr>
          <w:rFonts w:hint="eastAsia"/>
        </w:rPr>
        <w:t xml:space="preserve">AMEC)｜Lam、TEL、ASML、KLA、北方华创、中微</w:t>
      </w:r>
    </w:p>
    <w:p>
      <w:pPr>
        <w:pStyle w:val="Compact"/>
        <w:numPr>
          <w:ilvl w:val="0"/>
          <w:numId w:val="1003"/>
        </w:numPr>
      </w:pPr>
      <w:r>
        <w:rPr>
          <w:rFonts w:hint="eastAsia"/>
        </w:rPr>
        <w:t xml:space="preserve">瓶颈/监管:</w:t>
      </w:r>
      <w:r>
        <w:t xml:space="preserve"> China export rules, GAA/backside power transitions, DRAM </w:t>
      </w:r>
      <w:r>
        <w:rPr>
          <w:rFonts w:hint="eastAsia"/>
        </w:rPr>
        <w:t xml:space="preserve">capex｜出口管制、GAA/背面供电、DRAM</w:t>
      </w:r>
      <w:r>
        <w:t xml:space="preserve"> Capex</w:t>
      </w:r>
    </w:p>
    <w:p>
      <w:pPr>
        <w:pStyle w:val="Compact"/>
        <w:numPr>
          <w:ilvl w:val="0"/>
          <w:numId w:val="1003"/>
        </w:numPr>
      </w:pPr>
      <w:r>
        <w:rPr>
          <w:rFonts w:hint="eastAsia"/>
        </w:rPr>
        <w:t xml:space="preserve">关键KPI:</w:t>
      </w:r>
      <w:r>
        <w:t xml:space="preserve"> Semi systems revenue, AGS, GM%, China </w:t>
      </w:r>
      <w:r>
        <w:rPr>
          <w:rFonts w:hint="eastAsia"/>
        </w:rPr>
        <w:t xml:space="preserve">%｜系统收入、服务、毛利率、中国占比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9.2 bn </w:t>
      </w:r>
      <w:r>
        <w:rPr>
          <w:rFonts w:hint="eastAsia"/>
        </w:rPr>
        <w:t xml:space="preserve">USD；总负债</w:t>
      </w:r>
      <w:r>
        <w:t xml:space="preserve"> 7.3 bn </w:t>
      </w:r>
      <w:r>
        <w:rPr>
          <w:rFonts w:hint="eastAsia"/>
        </w:rPr>
        <w:t xml:space="preserve">USD；净现金</w:t>
      </w:r>
      <w:r>
        <w:t xml:space="preserve"> 1.9 bn USD。TTM FCF 5.6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2026-11-13</w:t>
      </w:r>
      <w:r>
        <w:rPr>
          <w:rFonts w:hint="eastAsia"/>
        </w:rPr>
        <w:t xml:space="preserve">；本季EPS一致预期</w:t>
      </w:r>
      <w:r>
        <w:t xml:space="preserve"> </w:t>
      </w:r>
      <w:r>
        <w:rPr>
          <w:rFonts w:hint="eastAsia"/>
        </w:rPr>
        <w:t xml:space="preserve">4.05576（25位分析师）；收入一致预期</w:t>
      </w:r>
      <w:r>
        <w:t xml:space="preserve"> 10.3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$132.76</w:t>
            </w:r>
          </w:p>
        </w:tc>
        <w:tc>
          <w:tcPr/>
          <w:p>
            <w:pPr>
              <w:pStyle w:val="Compact"/>
            </w:pPr>
            <w:r>
              <w:t xml:space="preserve">-69.1%</w:t>
            </w:r>
          </w:p>
        </w:tc>
      </w:tr>
      <w:tr>
        <w:tc>
          <w:tcPr/>
          <w:p>
            <w:pPr>
              <w:pStyle w:val="Compact"/>
            </w:pPr>
            <w:r>
              <w:t xml:space="preserve">2Q</w:t>
            </w:r>
          </w:p>
        </w:tc>
        <w:tc>
          <w:tcPr/>
          <w:p>
            <w:pPr>
              <w:pStyle w:val="Compact"/>
            </w:pPr>
            <w:r>
              <w:t xml:space="preserve">Base</w:t>
            </w:r>
          </w:p>
        </w:tc>
        <w:tc>
          <w:tcPr/>
          <w:p>
            <w:pPr>
              <w:pStyle w:val="Compact"/>
            </w:pPr>
            <w:r>
              <w:t xml:space="preserve">$293.10</w:t>
            </w:r>
          </w:p>
        </w:tc>
        <w:tc>
          <w:tcPr/>
          <w:p>
            <w:pPr>
              <w:pStyle w:val="Compact"/>
            </w:pPr>
            <w:r>
              <w:t xml:space="preserve">-31.8%</w:t>
            </w:r>
          </w:p>
        </w:tc>
      </w:tr>
      <w:tr>
        <w:tc>
          <w:tcPr/>
          <w:p>
            <w:pPr>
              <w:pStyle w:val="Compact"/>
            </w:pPr>
            <w:r>
              <w:t xml:space="preserve">2Q</w:t>
            </w:r>
          </w:p>
        </w:tc>
        <w:tc>
          <w:tcPr/>
          <w:p>
            <w:pPr>
              <w:pStyle w:val="Compact"/>
            </w:pPr>
            <w:r>
              <w:t xml:space="preserve">Bull</w:t>
            </w:r>
          </w:p>
        </w:tc>
        <w:tc>
          <w:tcPr/>
          <w:p>
            <w:pPr>
              <w:pStyle w:val="Compact"/>
            </w:pPr>
            <w:r>
              <w:t xml:space="preserve">$484.43</w:t>
            </w:r>
          </w:p>
        </w:tc>
        <w:tc>
          <w:tcPr/>
          <w:p>
            <w:pPr>
              <w:pStyle w:val="Compact"/>
            </w:pPr>
            <w:r>
              <w:t xml:space="preserve">12.7%</w:t>
            </w:r>
          </w:p>
        </w:tc>
      </w:tr>
      <w:tr>
        <w:tc>
          <w:tcPr/>
          <w:p>
            <w:pPr>
              <w:pStyle w:val="Compact"/>
            </w:pPr>
            <w:r>
              <w:t xml:space="preserve">4Q</w:t>
            </w:r>
          </w:p>
        </w:tc>
        <w:tc>
          <w:tcPr/>
          <w:p>
            <w:pPr>
              <w:pStyle w:val="Compact"/>
            </w:pPr>
            <w:r>
              <w:t xml:space="preserve">Bear</w:t>
            </w:r>
          </w:p>
        </w:tc>
        <w:tc>
          <w:tcPr/>
          <w:p>
            <w:pPr>
              <w:pStyle w:val="Compact"/>
            </w:pPr>
            <w:r>
              <w:t xml:space="preserve">$135.82</w:t>
            </w:r>
          </w:p>
        </w:tc>
        <w:tc>
          <w:tcPr/>
          <w:p>
            <w:pPr>
              <w:pStyle w:val="Compact"/>
            </w:pPr>
            <w:r>
              <w:t xml:space="preserve">-68.4%</w:t>
            </w:r>
          </w:p>
        </w:tc>
      </w:tr>
      <w:tr>
        <w:tc>
          <w:tcPr/>
          <w:p>
            <w:pPr>
              <w:pStyle w:val="Compact"/>
            </w:pPr>
            <w:r>
              <w:t xml:space="preserve">4Q</w:t>
            </w:r>
          </w:p>
        </w:tc>
        <w:tc>
          <w:tcPr/>
          <w:p>
            <w:pPr>
              <w:pStyle w:val="Compact"/>
            </w:pPr>
            <w:r>
              <w:t xml:space="preserve">Base</w:t>
            </w:r>
          </w:p>
        </w:tc>
        <w:tc>
          <w:tcPr/>
          <w:p>
            <w:pPr>
              <w:pStyle w:val="Compact"/>
            </w:pPr>
            <w:r>
              <w:t xml:space="preserve">$330.65</w:t>
            </w:r>
          </w:p>
        </w:tc>
        <w:tc>
          <w:tcPr/>
          <w:p>
            <w:pPr>
              <w:pStyle w:val="Compact"/>
            </w:pPr>
            <w:r>
              <w:t xml:space="preserve">-23.1%</w:t>
            </w:r>
          </w:p>
        </w:tc>
      </w:tr>
      <w:tr>
        <w:tc>
          <w:tcPr/>
          <w:p>
            <w:pPr>
              <w:pStyle w:val="Compact"/>
            </w:pPr>
            <w:r>
              <w:t xml:space="preserve">4Q</w:t>
            </w:r>
          </w:p>
        </w:tc>
        <w:tc>
          <w:tcPr/>
          <w:p>
            <w:pPr>
              <w:pStyle w:val="Compact"/>
            </w:pPr>
            <w:r>
              <w:t xml:space="preserve">Bull</w:t>
            </w:r>
          </w:p>
        </w:tc>
        <w:tc>
          <w:tcPr/>
          <w:p>
            <w:pPr>
              <w:pStyle w:val="Compact"/>
            </w:pPr>
            <w:r>
              <w:t xml:space="preserve">$577.53</w:t>
            </w:r>
          </w:p>
        </w:tc>
        <w:tc>
          <w:tcPr/>
          <w:p>
            <w:pPr>
              <w:pStyle w:val="Compact"/>
            </w:pPr>
            <w:r>
              <w:t xml:space="preserve">34.3%</w:t>
            </w:r>
          </w:p>
        </w:tc>
      </w:tr>
      <w:tr>
        <w:tc>
          <w:tcPr/>
          <w:p>
            <w:pPr>
              <w:pStyle w:val="Compact"/>
            </w:pPr>
            <w:r>
              <w:t xml:space="preserve">6Q</w:t>
            </w:r>
          </w:p>
        </w:tc>
        <w:tc>
          <w:tcPr/>
          <w:p>
            <w:pPr>
              <w:pStyle w:val="Compact"/>
            </w:pPr>
            <w:r>
              <w:t xml:space="preserve">Bear</w:t>
            </w:r>
          </w:p>
        </w:tc>
        <w:tc>
          <w:tcPr/>
          <w:p>
            <w:pPr>
              <w:pStyle w:val="Compact"/>
            </w:pPr>
            <w:r>
              <w:t xml:space="preserve">$138.95</w:t>
            </w:r>
          </w:p>
        </w:tc>
        <w:tc>
          <w:tcPr/>
          <w:p>
            <w:pPr>
              <w:pStyle w:val="Compact"/>
            </w:pPr>
            <w:r>
              <w:t xml:space="preserve">-67.7%</w:t>
            </w:r>
          </w:p>
        </w:tc>
      </w:tr>
      <w:tr>
        <w:tc>
          <w:tcPr/>
          <w:p>
            <w:pPr>
              <w:pStyle w:val="Compact"/>
            </w:pPr>
            <w:r>
              <w:t xml:space="preserve">6Q</w:t>
            </w:r>
          </w:p>
        </w:tc>
        <w:tc>
          <w:tcPr/>
          <w:p>
            <w:pPr>
              <w:pStyle w:val="Compact"/>
            </w:pPr>
            <w:r>
              <w:t xml:space="preserve">Base</w:t>
            </w:r>
          </w:p>
        </w:tc>
        <w:tc>
          <w:tcPr/>
          <w:p>
            <w:pPr>
              <w:pStyle w:val="Compact"/>
            </w:pPr>
            <w:r>
              <w:t xml:space="preserve">$372.69</w:t>
            </w:r>
          </w:p>
        </w:tc>
        <w:tc>
          <w:tcPr/>
          <w:p>
            <w:pPr>
              <w:pStyle w:val="Compact"/>
            </w:pPr>
            <w:r>
              <w:t xml:space="preserve">-13.3%</w:t>
            </w:r>
          </w:p>
        </w:tc>
      </w:tr>
      <w:tr>
        <w:tc>
          <w:tcPr/>
          <w:p>
            <w:pPr>
              <w:pStyle w:val="Compact"/>
            </w:pPr>
            <w:r>
              <w:t xml:space="preserve">6Q</w:t>
            </w:r>
          </w:p>
        </w:tc>
        <w:tc>
          <w:tcPr/>
          <w:p>
            <w:pPr>
              <w:pStyle w:val="Compact"/>
            </w:pPr>
            <w:r>
              <w:t xml:space="preserve">Bull</w:t>
            </w:r>
          </w:p>
        </w:tc>
        <w:tc>
          <w:tcPr/>
          <w:p>
            <w:pPr>
              <w:pStyle w:val="Compact"/>
            </w:pPr>
            <w:r>
              <w:t xml:space="preserve">$687.16</w:t>
            </w:r>
          </w:p>
        </w:tc>
        <w:tc>
          <w:tcPr/>
          <w:p>
            <w:pPr>
              <w:pStyle w:val="Compact"/>
            </w:pPr>
            <w:r>
              <w:t xml:space="preserve">59.8%</w:t>
            </w:r>
          </w:p>
        </w:tc>
      </w:tr>
      <w:tr>
        <w:tc>
          <w:tcPr/>
          <w:p>
            <w:pPr>
              <w:pStyle w:val="Compact"/>
            </w:pPr>
            <w:r>
              <w:t xml:space="preserve">8Q</w:t>
            </w:r>
          </w:p>
        </w:tc>
        <w:tc>
          <w:tcPr/>
          <w:p>
            <w:pPr>
              <w:pStyle w:val="Compact"/>
            </w:pPr>
            <w:r>
              <w:t xml:space="preserve">Bear</w:t>
            </w:r>
          </w:p>
        </w:tc>
        <w:tc>
          <w:tcPr/>
          <w:p>
            <w:pPr>
              <w:pStyle w:val="Compact"/>
            </w:pPr>
            <w:r>
              <w:t xml:space="preserve">$142.16</w:t>
            </w:r>
          </w:p>
        </w:tc>
        <w:tc>
          <w:tcPr/>
          <w:p>
            <w:pPr>
              <w:pStyle w:val="Compact"/>
            </w:pPr>
            <w:r>
              <w:t xml:space="preserve">-66.9%</w:t>
            </w:r>
          </w:p>
        </w:tc>
      </w:tr>
      <w:tr>
        <w:tc>
          <w:tcPr/>
          <w:p>
            <w:pPr>
              <w:pStyle w:val="Compact"/>
            </w:pPr>
            <w:r>
              <w:t xml:space="preserve">8Q</w:t>
            </w:r>
          </w:p>
        </w:tc>
        <w:tc>
          <w:tcPr/>
          <w:p>
            <w:pPr>
              <w:pStyle w:val="Compact"/>
            </w:pPr>
            <w:r>
              <w:t xml:space="preserve">Base</w:t>
            </w:r>
          </w:p>
        </w:tc>
        <w:tc>
          <w:tcPr/>
          <w:p>
            <w:pPr>
              <w:pStyle w:val="Compact"/>
            </w:pPr>
            <w:r>
              <w:t xml:space="preserve">$419.75</w:t>
            </w:r>
          </w:p>
        </w:tc>
        <w:tc>
          <w:tcPr/>
          <w:p>
            <w:pPr>
              <w:pStyle w:val="Compact"/>
            </w:pPr>
            <w:r>
              <w:t xml:space="preserve">-2.4%</w:t>
            </w:r>
          </w:p>
        </w:tc>
      </w:tr>
      <w:tr>
        <w:tc>
          <w:tcPr/>
          <w:p>
            <w:pPr>
              <w:pStyle w:val="Compact"/>
            </w:pPr>
            <w:r>
              <w:t xml:space="preserve">8Q</w:t>
            </w:r>
          </w:p>
        </w:tc>
        <w:tc>
          <w:tcPr/>
          <w:p>
            <w:pPr>
              <w:pStyle w:val="Compact"/>
            </w:pPr>
            <w:r>
              <w:t xml:space="preserve">Bull</w:t>
            </w:r>
          </w:p>
        </w:tc>
        <w:tc>
          <w:tcPr/>
          <w:p>
            <w:pPr>
              <w:pStyle w:val="Compact"/>
            </w:pPr>
            <w:r>
              <w:t xml:space="preserve">$816.09</w:t>
            </w:r>
          </w:p>
        </w:tc>
        <w:tc>
          <w:tcPr/>
          <w:p>
            <w:pPr>
              <w:pStyle w:val="Compact"/>
            </w:pPr>
            <w:r>
              <w:t xml:space="preserve">89.8%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34.6x</w:t>
            </w:r>
          </w:p>
        </w:tc>
      </w:tr>
      <w:tr>
        <w:tc>
          <w:tcPr/>
          <w:p>
            <w:pPr>
              <w:pStyle w:val="Compact"/>
            </w:pPr>
            <w:r>
              <w:t xml:space="preserve">4Q</w:t>
            </w:r>
          </w:p>
        </w:tc>
        <w:tc>
          <w:tcPr/>
          <w:p>
            <w:pPr>
              <w:pStyle w:val="Compact"/>
            </w:pPr>
            <w:r>
              <w:t xml:space="preserve">28.8x</w:t>
            </w:r>
          </w:p>
        </w:tc>
      </w:tr>
      <w:tr>
        <w:tc>
          <w:tcPr/>
          <w:p>
            <w:pPr>
              <w:pStyle w:val="Compact"/>
            </w:pPr>
            <w:r>
              <w:t xml:space="preserve">6Q</w:t>
            </w:r>
          </w:p>
        </w:tc>
        <w:tc>
          <w:tcPr/>
          <w:p>
            <w:pPr>
              <w:pStyle w:val="Compact"/>
            </w:pPr>
            <w:r>
              <w:t xml:space="preserve">24.0x</w:t>
            </w:r>
          </w:p>
        </w:tc>
      </w:tr>
      <w:tr>
        <w:tc>
          <w:tcPr/>
          <w:p>
            <w:pPr>
              <w:pStyle w:val="Compact"/>
            </w:pPr>
            <w:r>
              <w:t xml:space="preserve">8Q</w:t>
            </w:r>
          </w:p>
        </w:tc>
        <w:tc>
          <w:tcPr/>
          <w:p>
            <w:pPr>
              <w:pStyle w:val="Compact"/>
            </w:pPr>
            <w:r>
              <w:t xml:space="preserve">20.0x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$120.32</w:t>
            </w:r>
          </w:p>
        </w:tc>
        <w:tc>
          <w:tcPr/>
          <w:p>
            <w:pPr>
              <w:pStyle w:val="Compact"/>
            </w:pPr>
            <w:r>
              <w:t xml:space="preserve">-72.0%</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$317.08</w:t>
            </w:r>
          </w:p>
        </w:tc>
        <w:tc>
          <w:tcPr/>
          <w:p>
            <w:pPr>
              <w:pStyle w:val="Compact"/>
            </w:pPr>
            <w:r>
              <w:t xml:space="preserve">-26.3%</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$582.39</w:t>
            </w:r>
          </w:p>
        </w:tc>
        <w:tc>
          <w:tcPr/>
          <w:p>
            <w:pPr>
              <w:pStyle w:val="Compact"/>
            </w:pPr>
            <w:r>
              <w:t xml:space="preserve">35.4%</w:t>
            </w:r>
          </w:p>
        </w:tc>
      </w:tr>
    </w:tbl>
    <w:p>
      <w:pPr>
        <w:pStyle w:val="BodyText"/>
      </w:pPr>
      <w:r>
        <w:rPr>
          <w:rFonts w:hint="eastAsia"/>
        </w:rPr>
        <w:t xml:space="preserve">概率加权价值</w:t>
      </w:r>
      <w:r>
        <w:t xml:space="preserve"> </w:t>
      </w:r>
      <w:r>
        <w:rPr>
          <w:b/>
          <w:bCs/>
        </w:rPr>
        <w:t xml:space="preserve">$334.22</w:t>
      </w:r>
      <w:r>
        <w:rPr>
          <w:rFonts w:hint="eastAsia"/>
        </w:rPr>
        <w:t xml:space="preserve">（相对现价</w:t>
      </w:r>
      <w:r>
        <w:t xml:space="preserve"> </w:t>
      </w:r>
      <w:r>
        <w:rPr>
          <w:rFonts w:hint="eastAsia"/>
        </w:rPr>
        <w:t xml:space="preserve">-22.3%）。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249.7 bn </w:t>
      </w:r>
      <w:r>
        <w:rPr>
          <w:rFonts w:hint="eastAsia"/>
        </w:rPr>
        <w:t xml:space="preserve">USD；终值占比</w:t>
      </w:r>
      <w:r>
        <w:t xml:space="preserve"> 50.4%。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44.0%</w:t>
      </w:r>
      <w:r>
        <w:rPr>
          <w:rFonts w:hint="eastAsia"/>
        </w:rPr>
        <w:t xml:space="preserve">；一致预期FY+1增速</w:t>
      </w:r>
      <w:r>
        <w:t xml:space="preserve"> 35.2%。</w:t>
      </w:r>
    </w:p>
    <w:p>
      <w:pPr>
        <w:numPr>
          <w:ilvl w:val="0"/>
          <w:numId w:val="1005"/>
        </w:numPr>
      </w:pPr>
      <w:r>
        <w:t xml:space="preserve">WACC (CAPM) = rf 5.2% + β 1.59 × ERP 5.0% = 13.1%。</w:t>
      </w:r>
    </w:p>
    <w:p>
      <w:pPr>
        <w:numPr>
          <w:ilvl w:val="0"/>
          <w:numId w:val="1005"/>
        </w:numPr>
      </w:pPr>
      <w:r>
        <w:t xml:space="preserve">SOTP segments </w:t>
      </w:r>
      <w:r>
        <w:rPr>
          <w:rFonts w:hint="eastAsia"/>
        </w:rPr>
        <w:t xml:space="preserve">分部:</w:t>
      </w:r>
      <w:r>
        <w:t xml:space="preserve">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AMAT | 341.3 bn USD | 11.0x | 23.3x | 24.8% | 49.4% | 1.6% |</w:t>
      </w:r>
      <w:r>
        <w:t xml:space="preserve"> </w:t>
      </w:r>
      <w:r>
        <w:t xml:space="preserve">| LRCX | 347.2 bn USD | 14.9x | 23.6x | 30.0% | 50.5% | 0.9% |</w:t>
      </w:r>
      <w:r>
        <w:t xml:space="preserve"> </w:t>
      </w:r>
      <w:r>
        <w:t xml:space="preserve">| KLAC | 227.7 bn USD | 16.9x | 25.9x | 15.2% | 61.3% | 1.2% |</w:t>
      </w:r>
      <w:r>
        <w:t xml:space="preserve"> </w:t>
      </w:r>
      <w:r>
        <w:t xml:space="preserve">| ASML | 636.6 bn USD | 996.5x | 26.7x | 21.3% | 52.7% | 1.3% |</w:t>
      </w:r>
      <w:r>
        <w:t xml:space="preserve"> </w:t>
      </w:r>
      <w:r>
        <w:t xml:space="preserve">| 8035.T | 4,705.4 bn USD | 8.8x | 8.1x | 33.3% | 45.6% | 6.3%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6"/>
        </w:numPr>
      </w:pPr>
      <w:r>
        <w:rPr>
          <w:rFonts w:hint="eastAsia"/>
        </w:rPr>
        <w:t xml:space="preserve">证伪指标:</w:t>
      </w:r>
      <w:r>
        <w:t xml:space="preserve"> Semi systems revenue guide down; China share drops without </w:t>
      </w:r>
      <w:r>
        <w:rPr>
          <w:rFonts w:hint="eastAsia"/>
        </w:rPr>
        <w:t xml:space="preserve">offset｜系统收入指引下修；中国下滑无补偿</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430</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3.413e+11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9.233e+09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7.346e+09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3.084e+10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5.623e+09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1.591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0.2077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0.3518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1.59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0.3518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AMAT_model_v20261016-0756.xlsx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AT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AT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AT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AT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AT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c6eef0c7db257cdd96c6f2f3e547bfe083e91c"/>
    <w:p>
      <w:pPr>
        <w:pStyle w:val="Heading1"/>
      </w:pPr>
      <w:r>
        <w:t xml:space="preserve">AMAT Applied Materials, Inc. — Equity Deep Dive (Professional English) v20261016-0756</w:t>
      </w:r>
    </w:p>
    <w:p>
      <w:pPr>
        <w:pStyle w:val="BlockText"/>
      </w:pPr>
      <w:r>
        <w:t xml:space="preserve">Data as of 2026-10-16 07:56 SGT | Price $430.01 | Mkt cap 341.3 bn USD | Reporting currency USD | Not investment advice.</w:t>
      </w:r>
    </w:p>
    <w:bookmarkStart w:id="39" w:name="investment-thesis-hypothesis"/>
    <w:p>
      <w:pPr>
        <w:pStyle w:val="Heading2"/>
      </w:pPr>
      <w:r>
        <w:t xml:space="preserve">1. Investment thesis (HYPOTHESIS)</w:t>
      </w:r>
    </w:p>
    <w:p>
      <w:pPr>
        <w:pStyle w:val="FirstParagraph"/>
      </w:pPr>
      <w:r>
        <w:t xml:space="preserve">Applied Materials is a broad beneficiary of materials-engineering inflections (GAA, backside power, HBM, advanced packaging); China mix and export controls are the key swing factors.</w:t>
      </w:r>
    </w:p>
    <w:p>
      <w:pPr>
        <w:pStyle w:val="Compact"/>
        <w:numPr>
          <w:ilvl w:val="0"/>
          <w:numId w:val="1009"/>
        </w:numPr>
      </w:pPr>
      <w:r>
        <w:rPr>
          <w:b/>
          <w:bCs/>
        </w:rPr>
        <w:t xml:space="preserve">Bull drivers</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9"/>
        </w:numPr>
      </w:pPr>
      <w:r>
        <w:rPr>
          <w:b/>
          <w:bCs/>
        </w:rPr>
        <w:t xml:space="preserve">Bear drivers</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9"/>
        </w:numPr>
      </w:pPr>
      <w:r>
        <w:rPr>
          <w:b/>
          <w:bCs/>
        </w:rPr>
        <w:t xml:space="preserve">Falsifiers</w:t>
      </w:r>
      <w:r>
        <w:t xml:space="preserve">: Semi systems revenue guide down; China share drops without </w:t>
      </w:r>
      <w:r>
        <w:rPr>
          <w:rFonts w:hint="eastAsia"/>
        </w:rPr>
        <w:t xml:space="preserve">offset｜系统收入指引下修；中国下滑无补偿</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Semiconductor equipment (WFE) </w:t>
      </w:r>
      <w:r>
        <w:rPr>
          <w:rFonts w:hint="eastAsia"/>
        </w:rPr>
        <w:t xml:space="preserve">半导体设备</w:t>
      </w:r>
      <w:r>
        <w:t xml:space="preserve"> |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p>
    <w:p>
      <w:pPr>
        <w:pStyle w:val="Compact"/>
        <w:numPr>
          <w:ilvl w:val="0"/>
          <w:numId w:val="1010"/>
        </w:numPr>
      </w:pPr>
      <w:r>
        <w:t xml:space="preserve">Business description (DATA):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10"/>
        </w:numPr>
      </w:pPr>
      <w:r>
        <w:t xml:space="preserve">Customers: TSMC, Samsung, Intel, memory makers, Chinese </w:t>
      </w:r>
      <w:r>
        <w:rPr>
          <w:rFonts w:hint="eastAsia"/>
        </w:rPr>
        <w:t xml:space="preserve">fabs｜台积电、三星、英特尔、存储厂、中国厂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Precision components, RF power, vacuum </w:t>
      </w:r>
      <w:r>
        <w:rPr>
          <w:rFonts w:hint="eastAsia"/>
        </w:rPr>
        <w:t xml:space="preserve">parts｜精密部件、射频电源、真空件</w:t>
      </w:r>
    </w:p>
    <w:p>
      <w:pPr>
        <w:pStyle w:val="Compact"/>
        <w:numPr>
          <w:ilvl w:val="0"/>
          <w:numId w:val="1011"/>
        </w:numPr>
      </w:pPr>
      <w:r>
        <w:t xml:space="preserve">Competitors: Lam Research, TEL, ASML, KLA, Chinese domestic (Naura, </w:t>
      </w:r>
      <w:r>
        <w:rPr>
          <w:rFonts w:hint="eastAsia"/>
        </w:rPr>
        <w:t xml:space="preserve">AMEC)｜Lam、TEL、ASML、KLA、北方华创、中微</w:t>
      </w:r>
    </w:p>
    <w:p>
      <w:pPr>
        <w:pStyle w:val="Compact"/>
        <w:numPr>
          <w:ilvl w:val="0"/>
          <w:numId w:val="1011"/>
        </w:numPr>
      </w:pPr>
      <w:r>
        <w:t xml:space="preserve">Bottlenecks/regulation: China export rules, GAA/backside power transitions, DRAM </w:t>
      </w:r>
      <w:r>
        <w:rPr>
          <w:rFonts w:hint="eastAsia"/>
        </w:rPr>
        <w:t xml:space="preserve">capex｜出口管制、GAA/背面供电、DRAM</w:t>
      </w:r>
      <w:r>
        <w:t xml:space="preserve"> Capex</w:t>
      </w:r>
    </w:p>
    <w:p>
      <w:pPr>
        <w:pStyle w:val="Compact"/>
        <w:numPr>
          <w:ilvl w:val="0"/>
          <w:numId w:val="1011"/>
        </w:numPr>
      </w:pPr>
      <w:r>
        <w:t xml:space="preserve">KPIs: Semi systems revenue, AGS, GM%, China </w:t>
      </w:r>
      <w:r>
        <w:rPr>
          <w:rFonts w:hint="eastAsia"/>
        </w:rPr>
        <w:t xml:space="preserve">%｜系统收入、服务、毛利率、中国占比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9.2 bn USD; debt 7.3 bn USD; TTM FCF 5.6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2026-11-13</w:t>
      </w:r>
      <w:r>
        <w:t xml:space="preserve">; current-quarter EPS consensus 4.05576 (25 analysts); revenue consensus 10.3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$132.76</w:t>
            </w:r>
          </w:p>
        </w:tc>
        <w:tc>
          <w:tcPr/>
          <w:p>
            <w:pPr>
              <w:pStyle w:val="Compact"/>
            </w:pPr>
            <w:r>
              <w:t xml:space="preserve">-69.1%</w:t>
            </w:r>
          </w:p>
        </w:tc>
      </w:tr>
      <w:tr>
        <w:tc>
          <w:tcPr/>
          <w:p>
            <w:pPr>
              <w:pStyle w:val="Compact"/>
            </w:pPr>
            <w:r>
              <w:t xml:space="preserve">2Q</w:t>
            </w:r>
          </w:p>
        </w:tc>
        <w:tc>
          <w:tcPr/>
          <w:p>
            <w:pPr>
              <w:pStyle w:val="Compact"/>
            </w:pPr>
            <w:r>
              <w:t xml:space="preserve">Base</w:t>
            </w:r>
          </w:p>
        </w:tc>
        <w:tc>
          <w:tcPr/>
          <w:p>
            <w:pPr>
              <w:pStyle w:val="Compact"/>
            </w:pPr>
            <w:r>
              <w:t xml:space="preserve">$293.10</w:t>
            </w:r>
          </w:p>
        </w:tc>
        <w:tc>
          <w:tcPr/>
          <w:p>
            <w:pPr>
              <w:pStyle w:val="Compact"/>
            </w:pPr>
            <w:r>
              <w:t xml:space="preserve">-31.8%</w:t>
            </w:r>
          </w:p>
        </w:tc>
      </w:tr>
      <w:tr>
        <w:tc>
          <w:tcPr/>
          <w:p>
            <w:pPr>
              <w:pStyle w:val="Compact"/>
            </w:pPr>
            <w:r>
              <w:t xml:space="preserve">2Q</w:t>
            </w:r>
          </w:p>
        </w:tc>
        <w:tc>
          <w:tcPr/>
          <w:p>
            <w:pPr>
              <w:pStyle w:val="Compact"/>
            </w:pPr>
            <w:r>
              <w:t xml:space="preserve">Bull</w:t>
            </w:r>
          </w:p>
        </w:tc>
        <w:tc>
          <w:tcPr/>
          <w:p>
            <w:pPr>
              <w:pStyle w:val="Compact"/>
            </w:pPr>
            <w:r>
              <w:t xml:space="preserve">$484.43</w:t>
            </w:r>
          </w:p>
        </w:tc>
        <w:tc>
          <w:tcPr/>
          <w:p>
            <w:pPr>
              <w:pStyle w:val="Compact"/>
            </w:pPr>
            <w:r>
              <w:t xml:space="preserve">12.7%</w:t>
            </w:r>
          </w:p>
        </w:tc>
      </w:tr>
      <w:tr>
        <w:tc>
          <w:tcPr/>
          <w:p>
            <w:pPr>
              <w:pStyle w:val="Compact"/>
            </w:pPr>
            <w:r>
              <w:t xml:space="preserve">4Q</w:t>
            </w:r>
          </w:p>
        </w:tc>
        <w:tc>
          <w:tcPr/>
          <w:p>
            <w:pPr>
              <w:pStyle w:val="Compact"/>
            </w:pPr>
            <w:r>
              <w:t xml:space="preserve">Bear</w:t>
            </w:r>
          </w:p>
        </w:tc>
        <w:tc>
          <w:tcPr/>
          <w:p>
            <w:pPr>
              <w:pStyle w:val="Compact"/>
            </w:pPr>
            <w:r>
              <w:t xml:space="preserve">$135.82</w:t>
            </w:r>
          </w:p>
        </w:tc>
        <w:tc>
          <w:tcPr/>
          <w:p>
            <w:pPr>
              <w:pStyle w:val="Compact"/>
            </w:pPr>
            <w:r>
              <w:t xml:space="preserve">-68.4%</w:t>
            </w:r>
          </w:p>
        </w:tc>
      </w:tr>
      <w:tr>
        <w:tc>
          <w:tcPr/>
          <w:p>
            <w:pPr>
              <w:pStyle w:val="Compact"/>
            </w:pPr>
            <w:r>
              <w:t xml:space="preserve">4Q</w:t>
            </w:r>
          </w:p>
        </w:tc>
        <w:tc>
          <w:tcPr/>
          <w:p>
            <w:pPr>
              <w:pStyle w:val="Compact"/>
            </w:pPr>
            <w:r>
              <w:t xml:space="preserve">Base</w:t>
            </w:r>
          </w:p>
        </w:tc>
        <w:tc>
          <w:tcPr/>
          <w:p>
            <w:pPr>
              <w:pStyle w:val="Compact"/>
            </w:pPr>
            <w:r>
              <w:t xml:space="preserve">$330.65</w:t>
            </w:r>
          </w:p>
        </w:tc>
        <w:tc>
          <w:tcPr/>
          <w:p>
            <w:pPr>
              <w:pStyle w:val="Compact"/>
            </w:pPr>
            <w:r>
              <w:t xml:space="preserve">-23.1%</w:t>
            </w:r>
          </w:p>
        </w:tc>
      </w:tr>
      <w:tr>
        <w:tc>
          <w:tcPr/>
          <w:p>
            <w:pPr>
              <w:pStyle w:val="Compact"/>
            </w:pPr>
            <w:r>
              <w:t xml:space="preserve">4Q</w:t>
            </w:r>
          </w:p>
        </w:tc>
        <w:tc>
          <w:tcPr/>
          <w:p>
            <w:pPr>
              <w:pStyle w:val="Compact"/>
            </w:pPr>
            <w:r>
              <w:t xml:space="preserve">Bull</w:t>
            </w:r>
          </w:p>
        </w:tc>
        <w:tc>
          <w:tcPr/>
          <w:p>
            <w:pPr>
              <w:pStyle w:val="Compact"/>
            </w:pPr>
            <w:r>
              <w:t xml:space="preserve">$577.53</w:t>
            </w:r>
          </w:p>
        </w:tc>
        <w:tc>
          <w:tcPr/>
          <w:p>
            <w:pPr>
              <w:pStyle w:val="Compact"/>
            </w:pPr>
            <w:r>
              <w:t xml:space="preserve">34.3%</w:t>
            </w:r>
          </w:p>
        </w:tc>
      </w:tr>
      <w:tr>
        <w:tc>
          <w:tcPr/>
          <w:p>
            <w:pPr>
              <w:pStyle w:val="Compact"/>
            </w:pPr>
            <w:r>
              <w:t xml:space="preserve">6Q</w:t>
            </w:r>
          </w:p>
        </w:tc>
        <w:tc>
          <w:tcPr/>
          <w:p>
            <w:pPr>
              <w:pStyle w:val="Compact"/>
            </w:pPr>
            <w:r>
              <w:t xml:space="preserve">Bear</w:t>
            </w:r>
          </w:p>
        </w:tc>
        <w:tc>
          <w:tcPr/>
          <w:p>
            <w:pPr>
              <w:pStyle w:val="Compact"/>
            </w:pPr>
            <w:r>
              <w:t xml:space="preserve">$138.95</w:t>
            </w:r>
          </w:p>
        </w:tc>
        <w:tc>
          <w:tcPr/>
          <w:p>
            <w:pPr>
              <w:pStyle w:val="Compact"/>
            </w:pPr>
            <w:r>
              <w:t xml:space="preserve">-67.7%</w:t>
            </w:r>
          </w:p>
        </w:tc>
      </w:tr>
      <w:tr>
        <w:tc>
          <w:tcPr/>
          <w:p>
            <w:pPr>
              <w:pStyle w:val="Compact"/>
            </w:pPr>
            <w:r>
              <w:t xml:space="preserve">6Q</w:t>
            </w:r>
          </w:p>
        </w:tc>
        <w:tc>
          <w:tcPr/>
          <w:p>
            <w:pPr>
              <w:pStyle w:val="Compact"/>
            </w:pPr>
            <w:r>
              <w:t xml:space="preserve">Base</w:t>
            </w:r>
          </w:p>
        </w:tc>
        <w:tc>
          <w:tcPr/>
          <w:p>
            <w:pPr>
              <w:pStyle w:val="Compact"/>
            </w:pPr>
            <w:r>
              <w:t xml:space="preserve">$372.69</w:t>
            </w:r>
          </w:p>
        </w:tc>
        <w:tc>
          <w:tcPr/>
          <w:p>
            <w:pPr>
              <w:pStyle w:val="Compact"/>
            </w:pPr>
            <w:r>
              <w:t xml:space="preserve">-13.3%</w:t>
            </w:r>
          </w:p>
        </w:tc>
      </w:tr>
      <w:tr>
        <w:tc>
          <w:tcPr/>
          <w:p>
            <w:pPr>
              <w:pStyle w:val="Compact"/>
            </w:pPr>
            <w:r>
              <w:t xml:space="preserve">6Q</w:t>
            </w:r>
          </w:p>
        </w:tc>
        <w:tc>
          <w:tcPr/>
          <w:p>
            <w:pPr>
              <w:pStyle w:val="Compact"/>
            </w:pPr>
            <w:r>
              <w:t xml:space="preserve">Bull</w:t>
            </w:r>
          </w:p>
        </w:tc>
        <w:tc>
          <w:tcPr/>
          <w:p>
            <w:pPr>
              <w:pStyle w:val="Compact"/>
            </w:pPr>
            <w:r>
              <w:t xml:space="preserve">$687.16</w:t>
            </w:r>
          </w:p>
        </w:tc>
        <w:tc>
          <w:tcPr/>
          <w:p>
            <w:pPr>
              <w:pStyle w:val="Compact"/>
            </w:pPr>
            <w:r>
              <w:t xml:space="preserve">59.8%</w:t>
            </w:r>
          </w:p>
        </w:tc>
      </w:tr>
      <w:tr>
        <w:tc>
          <w:tcPr/>
          <w:p>
            <w:pPr>
              <w:pStyle w:val="Compact"/>
            </w:pPr>
            <w:r>
              <w:t xml:space="preserve">8Q</w:t>
            </w:r>
          </w:p>
        </w:tc>
        <w:tc>
          <w:tcPr/>
          <w:p>
            <w:pPr>
              <w:pStyle w:val="Compact"/>
            </w:pPr>
            <w:r>
              <w:t xml:space="preserve">Bear</w:t>
            </w:r>
          </w:p>
        </w:tc>
        <w:tc>
          <w:tcPr/>
          <w:p>
            <w:pPr>
              <w:pStyle w:val="Compact"/>
            </w:pPr>
            <w:r>
              <w:t xml:space="preserve">$142.16</w:t>
            </w:r>
          </w:p>
        </w:tc>
        <w:tc>
          <w:tcPr/>
          <w:p>
            <w:pPr>
              <w:pStyle w:val="Compact"/>
            </w:pPr>
            <w:r>
              <w:t xml:space="preserve">-66.9%</w:t>
            </w:r>
          </w:p>
        </w:tc>
      </w:tr>
      <w:tr>
        <w:tc>
          <w:tcPr/>
          <w:p>
            <w:pPr>
              <w:pStyle w:val="Compact"/>
            </w:pPr>
            <w:r>
              <w:t xml:space="preserve">8Q</w:t>
            </w:r>
          </w:p>
        </w:tc>
        <w:tc>
          <w:tcPr/>
          <w:p>
            <w:pPr>
              <w:pStyle w:val="Compact"/>
            </w:pPr>
            <w:r>
              <w:t xml:space="preserve">Base</w:t>
            </w:r>
          </w:p>
        </w:tc>
        <w:tc>
          <w:tcPr/>
          <w:p>
            <w:pPr>
              <w:pStyle w:val="Compact"/>
            </w:pPr>
            <w:r>
              <w:t xml:space="preserve">$419.75</w:t>
            </w:r>
          </w:p>
        </w:tc>
        <w:tc>
          <w:tcPr/>
          <w:p>
            <w:pPr>
              <w:pStyle w:val="Compact"/>
            </w:pPr>
            <w:r>
              <w:t xml:space="preserve">-2.4%</w:t>
            </w:r>
          </w:p>
        </w:tc>
      </w:tr>
      <w:tr>
        <w:tc>
          <w:tcPr/>
          <w:p>
            <w:pPr>
              <w:pStyle w:val="Compact"/>
            </w:pPr>
            <w:r>
              <w:t xml:space="preserve">8Q</w:t>
            </w:r>
          </w:p>
        </w:tc>
        <w:tc>
          <w:tcPr/>
          <w:p>
            <w:pPr>
              <w:pStyle w:val="Compact"/>
            </w:pPr>
            <w:r>
              <w:t xml:space="preserve">Bull</w:t>
            </w:r>
          </w:p>
        </w:tc>
        <w:tc>
          <w:tcPr/>
          <w:p>
            <w:pPr>
              <w:pStyle w:val="Compact"/>
            </w:pPr>
            <w:r>
              <w:t xml:space="preserve">$816.09</w:t>
            </w:r>
          </w:p>
        </w:tc>
        <w:tc>
          <w:tcPr/>
          <w:p>
            <w:pPr>
              <w:pStyle w:val="Compact"/>
            </w:pPr>
            <w:r>
              <w:t xml:space="preserve">89.8%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34.6x</w:t>
            </w:r>
          </w:p>
        </w:tc>
      </w:tr>
      <w:tr>
        <w:tc>
          <w:tcPr/>
          <w:p>
            <w:pPr>
              <w:pStyle w:val="Compact"/>
            </w:pPr>
            <w:r>
              <w:t xml:space="preserve">4Q</w:t>
            </w:r>
          </w:p>
        </w:tc>
        <w:tc>
          <w:tcPr/>
          <w:p>
            <w:pPr>
              <w:pStyle w:val="Compact"/>
            </w:pPr>
            <w:r>
              <w:t xml:space="preserve">28.8x</w:t>
            </w:r>
          </w:p>
        </w:tc>
      </w:tr>
      <w:tr>
        <w:tc>
          <w:tcPr/>
          <w:p>
            <w:pPr>
              <w:pStyle w:val="Compact"/>
            </w:pPr>
            <w:r>
              <w:t xml:space="preserve">6Q</w:t>
            </w:r>
          </w:p>
        </w:tc>
        <w:tc>
          <w:tcPr/>
          <w:p>
            <w:pPr>
              <w:pStyle w:val="Compact"/>
            </w:pPr>
            <w:r>
              <w:t xml:space="preserve">24.0x</w:t>
            </w:r>
          </w:p>
        </w:tc>
      </w:tr>
      <w:tr>
        <w:tc>
          <w:tcPr/>
          <w:p>
            <w:pPr>
              <w:pStyle w:val="Compact"/>
            </w:pPr>
            <w:r>
              <w:t xml:space="preserve">8Q</w:t>
            </w:r>
          </w:p>
        </w:tc>
        <w:tc>
          <w:tcPr/>
          <w:p>
            <w:pPr>
              <w:pStyle w:val="Compact"/>
            </w:pPr>
            <w:r>
              <w:t xml:space="preserve">20.0x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$120.32</w:t>
            </w:r>
          </w:p>
        </w:tc>
        <w:tc>
          <w:tcPr/>
          <w:p>
            <w:pPr>
              <w:pStyle w:val="Compact"/>
            </w:pPr>
            <w:r>
              <w:t xml:space="preserve">-72.0%</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$317.08</w:t>
            </w:r>
          </w:p>
        </w:tc>
        <w:tc>
          <w:tcPr/>
          <w:p>
            <w:pPr>
              <w:pStyle w:val="Compact"/>
            </w:pPr>
            <w:r>
              <w:t xml:space="preserve">-26.3%</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$582.39</w:t>
            </w:r>
          </w:p>
        </w:tc>
        <w:tc>
          <w:tcPr/>
          <w:p>
            <w:pPr>
              <w:pStyle w:val="Compact"/>
            </w:pPr>
            <w:r>
              <w:t xml:space="preserve">35.4%</w:t>
            </w:r>
          </w:p>
        </w:tc>
      </w:tr>
    </w:tbl>
    <w:p>
      <w:pPr>
        <w:pStyle w:val="BodyText"/>
      </w:pPr>
      <w:r>
        <w:t xml:space="preserve">Probability-weighted value</w:t>
      </w:r>
      <w:r>
        <w:t xml:space="preserve"> </w:t>
      </w:r>
      <w:r>
        <w:rPr>
          <w:b/>
          <w:bCs/>
        </w:rPr>
        <w:t xml:space="preserve">$334.22</w:t>
      </w:r>
      <w:r>
        <w:t xml:space="preserve"> </w:t>
      </w:r>
      <w:r>
        <w:t xml:space="preserve">(-22.3%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249.7 bn USD; terminal share 50.4%.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44.0%</w:t>
      </w:r>
      <w:r>
        <w:t xml:space="preserve"> </w:t>
      </w:r>
      <w:r>
        <w:t xml:space="preserve">vs consensus FY+1 35.2%.</w:t>
      </w:r>
    </w:p>
    <w:p>
      <w:pPr>
        <w:pStyle w:val="Compact"/>
        <w:numPr>
          <w:ilvl w:val="0"/>
          <w:numId w:val="1013"/>
        </w:numPr>
      </w:pPr>
      <w:r>
        <w:t xml:space="preserve">WACC (CAPM) = rf 5.2% + β 1.59 × ERP 5.0% = 13.1%.</w:t>
      </w:r>
    </w:p>
    <w:p>
      <w:pPr>
        <w:pStyle w:val="Compact"/>
        <w:numPr>
          <w:ilvl w:val="0"/>
          <w:numId w:val="1013"/>
        </w:numPr>
      </w:pPr>
      <w:r>
        <w:t xml:space="preserve">SOTP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China restrictions widen; WFE flat </w:t>
      </w:r>
      <w:r>
        <w:rPr>
          <w:rFonts w:hint="eastAsia"/>
        </w:rPr>
        <w:t xml:space="preserve">2027｜管制扩大；2027</w:t>
      </w:r>
      <w:r>
        <w:t xml:space="preserve"> </w:t>
      </w:r>
      <w:r>
        <w:rPr>
          <w:rFonts w:hint="eastAsia"/>
        </w:rPr>
        <w:t xml:space="preserve">WFE持平</w:t>
      </w:r>
      <w:r>
        <w:t xml:space="preserve"> | Falsifiers: Semi systems revenue guide down; China share drops without </w:t>
      </w:r>
      <w:r>
        <w:rPr>
          <w:rFonts w:hint="eastAsia"/>
        </w:rPr>
        <w:t xml:space="preserve">offset｜系统收入指引下修；中国下滑无补偿</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AMAT_model_v20261016-0756.xlsx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2026-10-15T23:59:05Z</dcterms:created>
  <dcterms:modified xsi:type="dcterms:W3CDTF">2026-10-15T23:59:05Z</dcterms:modified>
</cp:coreProperties>
</file>

<file path=docProps/custom.xml><?xml version="1.0" encoding="utf-8"?>
<Properties xmlns="http://schemas.openxmlformats.org/officeDocument/2006/custom-properties" xmlns:vt="http://schemas.openxmlformats.org/officeDocument/2006/docPropsVTypes"/>
</file>