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4a662edbc7fee176678e1b6d864b035c1c934ec"/>
    <w:p>
      <w:pPr>
        <w:pStyle w:val="Heading1"/>
      </w:pPr>
      <w:r>
        <w:t xml:space="preserve">GLW Corning Incorporated — </w:t>
      </w:r>
      <w:r>
        <w:rPr>
          <w:rFonts w:hint="eastAsia"/>
        </w:rPr>
        <w:t xml:space="preserve">个股深度研究</w:t>
      </w:r>
      <w:r>
        <w:t xml:space="preserve"> </w:t>
      </w:r>
      <w:r>
        <w:rPr>
          <w:rFonts w:hint="eastAsia"/>
        </w:rPr>
        <w:t xml:space="preserve">(专业中文版)</w:t>
      </w:r>
      <w:r>
        <w:t xml:space="preserve"> v20261016-0756</w:t>
      </w:r>
    </w:p>
    <w:p>
      <w:pPr>
        <w:pStyle w:val="BlockText"/>
      </w:pPr>
      <w:r>
        <w:rPr>
          <w:rFonts w:hint="eastAsia"/>
        </w:rPr>
        <w:t xml:space="preserve">数据截至</w:t>
      </w:r>
      <w:r>
        <w:t xml:space="preserve"> 2026-10-16 07:56 </w:t>
      </w:r>
      <w:r>
        <w:rPr>
          <w:rFonts w:hint="eastAsia"/>
        </w:rPr>
        <w:t xml:space="preserve">SGT｜价格</w:t>
      </w:r>
      <w:r>
        <w:t xml:space="preserve"> </w:t>
      </w:r>
      <w:r>
        <w:rPr>
          <w:rFonts w:hint="eastAsia"/>
        </w:rPr>
        <w:t xml:space="preserve">$138.43｜市值</w:t>
      </w:r>
      <w:r>
        <w:t xml:space="preserve"> 119.2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AI数据中心内部与之间的光纤密度大幅提升，使康宁光通信成为AI基建的’铜→光’受益者；Springboard计划强调利润率提升。</w:t>
      </w:r>
    </w:p>
    <w:p>
      <w:pPr>
        <w:pStyle w:val="Compact"/>
        <w:numPr>
          <w:ilvl w:val="0"/>
          <w:numId w:val="1001"/>
        </w:numPr>
      </w:pPr>
      <w:r>
        <w:rPr>
          <w:rFonts w:hint="eastAsia"/>
          <w:b/>
          <w:bCs/>
        </w:rPr>
        <w:t xml:space="preserve">多头驱动</w:t>
      </w:r>
      <w:r>
        <w:t xml:space="preserve">: Hyperscaler fiber contracts scale; CPO raises fiber-attach; solar/specialty </w:t>
      </w:r>
      <w:r>
        <w:rPr>
          <w:rFonts w:hint="eastAsia"/>
        </w:rPr>
        <w:t xml:space="preserve">recover｜云厂光纤合约放量；CPO提升光纤连接量；光伏/特材复苏</w:t>
      </w:r>
    </w:p>
    <w:p>
      <w:pPr>
        <w:pStyle w:val="Compact"/>
        <w:numPr>
          <w:ilvl w:val="0"/>
          <w:numId w:val="1001"/>
        </w:numPr>
      </w:pPr>
      <w:r>
        <w:rPr>
          <w:rFonts w:hint="eastAsia"/>
          <w:b/>
          <w:bCs/>
        </w:rPr>
        <w:t xml:space="preserve">空头驱动</w:t>
      </w:r>
      <w:r>
        <w:t xml:space="preserve">: Display weakness, fiber pricing from Chinese competition, capex </w:t>
      </w:r>
      <w:r>
        <w:rPr>
          <w:rFonts w:hint="eastAsia"/>
        </w:rPr>
        <w:t xml:space="preserve">digestion｜显示疲弱、中国光纤价格竞争、Capex消化</w:t>
      </w:r>
    </w:p>
    <w:p>
      <w:pPr>
        <w:pStyle w:val="Compact"/>
        <w:numPr>
          <w:ilvl w:val="0"/>
          <w:numId w:val="1001"/>
        </w:numPr>
      </w:pPr>
      <w:r>
        <w:rPr>
          <w:rFonts w:hint="eastAsia"/>
          <w:b/>
          <w:bCs/>
        </w:rPr>
        <w:t xml:space="preserve">证伪条件</w:t>
      </w:r>
      <w:r>
        <w:rPr>
          <w:b/>
          <w:bCs/>
        </w:rPr>
        <w:t xml:space="preserve"> Falsifiers</w:t>
      </w:r>
      <w:r>
        <w:t xml:space="preserve">: Optical Comms growth decelerates below enterprise market; Springboard margin targets </w:t>
      </w:r>
      <w:r>
        <w:rPr>
          <w:rFonts w:hint="eastAsia"/>
        </w:rPr>
        <w:t xml:space="preserve">missed｜光通信增速回落；Springboard利润率目标落空</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Optical fiber / specialty glass </w:t>
      </w:r>
      <w:r>
        <w:rPr>
          <w:rFonts w:hint="eastAsia"/>
        </w:rPr>
        <w:t xml:space="preserve">光纤/特种玻璃</w:t>
      </w:r>
    </w:p>
    <w:p>
      <w:pPr>
        <w:pStyle w:val="Compact"/>
        <w:numPr>
          <w:ilvl w:val="0"/>
          <w:numId w:val="1002"/>
        </w:numPr>
      </w:pPr>
      <w:r>
        <w:rPr>
          <w:rFonts w:hint="eastAsia"/>
        </w:rPr>
        <w:t xml:space="preserve">业务分部</w:t>
      </w:r>
      <w:r>
        <w:t xml:space="preserve"> Segments: Optical Communications </w:t>
      </w:r>
      <w:r>
        <w:rPr>
          <w:rFonts w:hint="eastAsia"/>
        </w:rPr>
        <w:t xml:space="preserve">光通信；Display</w:t>
      </w:r>
      <w:r>
        <w:t xml:space="preserve"> </w:t>
      </w:r>
      <w:r>
        <w:rPr>
          <w:rFonts w:hint="eastAsia"/>
        </w:rPr>
        <w:t xml:space="preserve">显示；Specialty</w:t>
      </w:r>
      <w:r>
        <w:t xml:space="preserve"> Materials </w:t>
      </w:r>
      <w:r>
        <w:rPr>
          <w:rFonts w:hint="eastAsia"/>
        </w:rPr>
        <w:t xml:space="preserve">特种材料(Gorilla)；Environmental/Life</w:t>
      </w:r>
      <w:r>
        <w:t xml:space="preserve"> Sci/Solar </w:t>
      </w:r>
      <w:r>
        <w:rPr>
          <w:rFonts w:hint="eastAsia"/>
        </w:rPr>
        <w:t xml:space="preserve">其他</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Corning Incorporated operates in optical communications, display, specialty materials, automotive, and life sciences businesses in the United States, Canada, Mexico, Japan, Taiwan, China, South Korea, Germany, and internationally. The company provides optical fibers and cables; and hardware and equipment products, such as cable assemblies, fiber optic hardware and connectors, optical components and couplers, closures, network interface devices, and other accessories for the telecommunications industry, businesses, governments, and individuals. It also offers glass substrates for flat panel displays, including liquid crystal displays and organic light-emitting diodes that are used in televisions, notebook computers, desktop monitors, tablets, and handheld devices. In addition, it manufactures products that offer material formulations for glass, glass ceramics, crystals, precision metrolog</w:t>
      </w:r>
    </w:p>
    <w:p>
      <w:pPr>
        <w:pStyle w:val="Compact"/>
        <w:numPr>
          <w:ilvl w:val="0"/>
          <w:numId w:val="1002"/>
        </w:numPr>
      </w:pPr>
      <w:r>
        <w:rPr>
          <w:rFonts w:hint="eastAsia"/>
        </w:rPr>
        <w:t xml:space="preserve">主要客户:</w:t>
      </w:r>
      <w:r>
        <w:t xml:space="preserve"> Hyperscalers &amp; carriers (fiber/connectivity), Samsung/LG/BOE (display), Apple (cover </w:t>
      </w:r>
      <w:r>
        <w:rPr>
          <w:rFonts w:hint="eastAsia"/>
        </w:rPr>
        <w:t xml:space="preserve">glass)｜云厂与电信商、面板厂、苹果</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Raw materials (silica, germanium), energy; in-house glass </w:t>
      </w:r>
      <w:r>
        <w:rPr>
          <w:rFonts w:hint="eastAsia"/>
        </w:rPr>
        <w:t xml:space="preserve">tech｜原材料(硅、锗)、能源；自有玻璃工艺</w:t>
      </w:r>
    </w:p>
    <w:p>
      <w:pPr>
        <w:pStyle w:val="Compact"/>
        <w:numPr>
          <w:ilvl w:val="0"/>
          <w:numId w:val="1003"/>
        </w:numPr>
      </w:pPr>
      <w:r>
        <w:rPr>
          <w:rFonts w:hint="eastAsia"/>
        </w:rPr>
        <w:t xml:space="preserve">竞争者</w:t>
      </w:r>
      <w:r>
        <w:t xml:space="preserve"> </w:t>
      </w:r>
      <w:r>
        <w:rPr>
          <w:rFonts w:hint="eastAsia"/>
        </w:rPr>
        <w:t xml:space="preserve">(含业外):</w:t>
      </w:r>
      <w:r>
        <w:t xml:space="preserve"> Prysmian, Fujikura, Sumitomo, YOFC (fiber); AGC, NEG </w:t>
      </w:r>
      <w:r>
        <w:rPr>
          <w:rFonts w:hint="eastAsia"/>
        </w:rPr>
        <w:t xml:space="preserve">(glass)｜普睿司曼、藤仓、住友、长飞；旭硝子、日本电气硝子</w:t>
      </w:r>
    </w:p>
    <w:p>
      <w:pPr>
        <w:pStyle w:val="Compact"/>
        <w:numPr>
          <w:ilvl w:val="0"/>
          <w:numId w:val="1003"/>
        </w:numPr>
      </w:pPr>
      <w:r>
        <w:rPr>
          <w:rFonts w:hint="eastAsia"/>
        </w:rPr>
        <w:t xml:space="preserve">瓶颈/监管:</w:t>
      </w:r>
      <w:r>
        <w:t xml:space="preserve"> High-density fiber/cable capacity for AI data centers; preform </w:t>
      </w:r>
      <w:r>
        <w:rPr>
          <w:rFonts w:hint="eastAsia"/>
        </w:rPr>
        <w:t xml:space="preserve">capacity｜AI数据中心高密度光纤/光缆产能、预制棒产能</w:t>
      </w:r>
    </w:p>
    <w:p>
      <w:pPr>
        <w:pStyle w:val="Compact"/>
        <w:numPr>
          <w:ilvl w:val="0"/>
          <w:numId w:val="1003"/>
        </w:numPr>
      </w:pPr>
      <w:r>
        <w:rPr>
          <w:rFonts w:hint="eastAsia"/>
        </w:rPr>
        <w:t xml:space="preserve">关键KPI:</w:t>
      </w:r>
      <w:r>
        <w:t xml:space="preserve"> Optical Comms sales, core op margin, enterprise network </w:t>
      </w:r>
      <w:r>
        <w:rPr>
          <w:rFonts w:hint="eastAsia"/>
        </w:rPr>
        <w:t xml:space="preserve">growth｜光通信销售、核心营业利润率、企业网络增速</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4.5 bn USD</w:t>
            </w:r>
          </w:p>
        </w:tc>
        <w:tc>
          <w:tcPr/>
          <w:p>
            <w:pPr>
              <w:pStyle w:val="Compact"/>
            </w:pPr>
            <w:r>
              <w:t xml:space="preserve">1.6 bn USD</w:t>
            </w:r>
          </w:p>
        </w:tc>
        <w:tc>
          <w:tcPr/>
          <w:p>
            <w:pPr>
              <w:pStyle w:val="Compact"/>
            </w:pPr>
            <w:r>
              <w:t xml:space="preserve">0.7 bn USD</w:t>
            </w:r>
          </w:p>
        </w:tc>
        <w:tc>
          <w:tcPr/>
          <w:p>
            <w:pPr>
              <w:pStyle w:val="Compact"/>
            </w:pPr>
            <w:r>
              <w:t xml:space="preserve">0.6 bn USD</w:t>
            </w:r>
          </w:p>
        </w:tc>
        <w:tc>
          <w:tcPr/>
          <w:p>
            <w:pPr>
              <w:pStyle w:val="Compact"/>
            </w:pPr>
            <w:r>
              <w:t xml:space="preserve">1.3 bn USD</w:t>
            </w:r>
          </w:p>
        </w:tc>
        <w:tc>
          <w:tcPr/>
          <w:p>
            <w:pPr>
              <w:pStyle w:val="Compact"/>
            </w:pPr>
            <w:r>
              <w:t xml:space="preserve">15.5%</w:t>
            </w:r>
          </w:p>
        </w:tc>
      </w:tr>
      <w:tr>
        <w:tc>
          <w:tcPr/>
          <w:p>
            <w:pPr>
              <w:pStyle w:val="Compact"/>
            </w:pPr>
            <w:r>
              <w:t xml:space="preserve">2026-03-31</w:t>
            </w:r>
          </w:p>
        </w:tc>
        <w:tc>
          <w:tcPr/>
          <w:p>
            <w:pPr>
              <w:pStyle w:val="Compact"/>
            </w:pPr>
            <w:r>
              <w:t xml:space="preserve">4.1 bn USD</w:t>
            </w:r>
          </w:p>
        </w:tc>
        <w:tc>
          <w:tcPr/>
          <w:p>
            <w:pPr>
              <w:pStyle w:val="Compact"/>
            </w:pPr>
            <w:r>
              <w:t xml:space="preserve">1.5 bn USD</w:t>
            </w:r>
          </w:p>
        </w:tc>
        <w:tc>
          <w:tcPr/>
          <w:p>
            <w:pPr>
              <w:pStyle w:val="Compact"/>
            </w:pPr>
            <w:r>
              <w:t xml:space="preserve">0.6 bn USD</w:t>
            </w:r>
          </w:p>
        </w:tc>
        <w:tc>
          <w:tcPr/>
          <w:p>
            <w:pPr>
              <w:pStyle w:val="Compact"/>
            </w:pPr>
            <w:r>
              <w:t xml:space="preserve">0.4 bn USD</w:t>
            </w:r>
          </w:p>
        </w:tc>
        <w:tc>
          <w:tcPr/>
          <w:p>
            <w:pPr>
              <w:pStyle w:val="Compact"/>
            </w:pPr>
            <w:r>
              <w:t xml:space="preserve">30.0 mn USD</w:t>
            </w:r>
          </w:p>
        </w:tc>
        <w:tc>
          <w:tcPr/>
          <w:p>
            <w:pPr>
              <w:pStyle w:val="Compact"/>
            </w:pPr>
            <w:r>
              <w:t xml:space="preserve">15.4%</w:t>
            </w:r>
          </w:p>
        </w:tc>
      </w:tr>
      <w:tr>
        <w:tc>
          <w:tcPr/>
          <w:p>
            <w:pPr>
              <w:pStyle w:val="Compact"/>
            </w:pPr>
            <w:r>
              <w:t xml:space="preserve">2025-12-31</w:t>
            </w:r>
          </w:p>
        </w:tc>
        <w:tc>
          <w:tcPr/>
          <w:p>
            <w:pPr>
              <w:pStyle w:val="Compact"/>
            </w:pPr>
            <w:r>
              <w:t xml:space="preserve">4.2 bn USD</w:t>
            </w:r>
          </w:p>
        </w:tc>
        <w:tc>
          <w:tcPr/>
          <w:p>
            <w:pPr>
              <w:pStyle w:val="Compact"/>
            </w:pPr>
            <w:r>
              <w:t xml:space="preserve">1.5 bn USD</w:t>
            </w:r>
          </w:p>
        </w:tc>
        <w:tc>
          <w:tcPr/>
          <w:p>
            <w:pPr>
              <w:pStyle w:val="Compact"/>
            </w:pPr>
            <w:r>
              <w:t xml:space="preserve">0.7 bn USD</w:t>
            </w:r>
          </w:p>
        </w:tc>
        <w:tc>
          <w:tcPr/>
          <w:p>
            <w:pPr>
              <w:pStyle w:val="Compact"/>
            </w:pPr>
            <w:r>
              <w:t xml:space="preserve">0.5 bn USD</w:t>
            </w:r>
          </w:p>
        </w:tc>
        <w:tc>
          <w:tcPr/>
          <w:p>
            <w:pPr>
              <w:pStyle w:val="Compact"/>
            </w:pPr>
            <w:r>
              <w:t xml:space="preserve">0.6 bn USD</w:t>
            </w:r>
          </w:p>
        </w:tc>
        <w:tc>
          <w:tcPr/>
          <w:p>
            <w:pPr>
              <w:pStyle w:val="Compact"/>
            </w:pPr>
            <w:r>
              <w:t xml:space="preserve">15.9%</w:t>
            </w:r>
          </w:p>
        </w:tc>
      </w:tr>
      <w:tr>
        <w:tc>
          <w:tcPr/>
          <w:p>
            <w:pPr>
              <w:pStyle w:val="Compact"/>
            </w:pPr>
            <w:r>
              <w:t xml:space="preserve">2025-09-30</w:t>
            </w:r>
          </w:p>
        </w:tc>
        <w:tc>
          <w:tcPr/>
          <w:p>
            <w:pPr>
              <w:pStyle w:val="Compact"/>
            </w:pPr>
            <w:r>
              <w:t xml:space="preserve">4.1 bn USD</w:t>
            </w:r>
          </w:p>
        </w:tc>
        <w:tc>
          <w:tcPr/>
          <w:p>
            <w:pPr>
              <w:pStyle w:val="Compact"/>
            </w:pPr>
            <w:r>
              <w:t xml:space="preserve">1.5 bn USD</w:t>
            </w:r>
          </w:p>
        </w:tc>
        <w:tc>
          <w:tcPr/>
          <w:p>
            <w:pPr>
              <w:pStyle w:val="Compact"/>
            </w:pPr>
            <w:r>
              <w:t xml:space="preserve">0.6 bn USD</w:t>
            </w:r>
          </w:p>
        </w:tc>
        <w:tc>
          <w:tcPr/>
          <w:p>
            <w:pPr>
              <w:pStyle w:val="Compact"/>
            </w:pPr>
            <w:r>
              <w:t xml:space="preserve">0.4 bn USD</w:t>
            </w:r>
          </w:p>
        </w:tc>
        <w:tc>
          <w:tcPr/>
          <w:p>
            <w:pPr>
              <w:pStyle w:val="Compact"/>
            </w:pPr>
            <w:r>
              <w:t xml:space="preserve">0.5 bn USD</w:t>
            </w:r>
          </w:p>
        </w:tc>
        <w:tc>
          <w:tcPr/>
          <w:p>
            <w:pPr>
              <w:pStyle w:val="Compact"/>
            </w:pPr>
            <w:r>
              <w:t xml:space="preserve">14.4%</w:t>
            </w:r>
          </w:p>
        </w:tc>
      </w:tr>
      <w:tr>
        <w:tc>
          <w:tcPr/>
          <w:p>
            <w:pPr>
              <w:pStyle w:val="Compact"/>
            </w:pPr>
            <w:r>
              <w:t xml:space="preserve">2025-06-30</w:t>
            </w:r>
          </w:p>
        </w:tc>
        <w:tc>
          <w:tcPr/>
          <w:p>
            <w:pPr>
              <w:pStyle w:val="Compact"/>
            </w:pPr>
            <w:r>
              <w:t xml:space="preserve">3.9 bn USD</w:t>
            </w:r>
          </w:p>
        </w:tc>
        <w:tc>
          <w:tcPr/>
          <w:p>
            <w:pPr>
              <w:pStyle w:val="Compact"/>
            </w:pPr>
            <w:r>
              <w:t xml:space="preserve">1.4 bn USD</w:t>
            </w:r>
          </w:p>
        </w:tc>
        <w:tc>
          <w:tcPr/>
          <w:p>
            <w:pPr>
              <w:pStyle w:val="Compact"/>
            </w:pPr>
            <w:r>
              <w:t xml:space="preserve">0.6 bn USD</w:t>
            </w:r>
          </w:p>
        </w:tc>
        <w:tc>
          <w:tcPr/>
          <w:p>
            <w:pPr>
              <w:pStyle w:val="Compact"/>
            </w:pPr>
            <w:r>
              <w:t xml:space="preserve">0.5 bn USD</w:t>
            </w:r>
          </w:p>
        </w:tc>
        <w:tc>
          <w:tcPr/>
          <w:p>
            <w:pPr>
              <w:pStyle w:val="Compact"/>
            </w:pPr>
            <w:r>
              <w:t xml:space="preserve">0.4 bn USD</w:t>
            </w:r>
          </w:p>
        </w:tc>
        <w:tc>
          <w:tcPr/>
          <w:p>
            <w:pPr>
              <w:pStyle w:val="Compact"/>
            </w:pPr>
            <w:r>
              <w:t xml:space="preserve">14.8%</w:t>
            </w:r>
          </w:p>
        </w:tc>
      </w:tr>
    </w:tbl>
    <w:p>
      <w:pPr>
        <w:pStyle w:val="BodyText"/>
      </w:pPr>
      <w:r>
        <w:rPr>
          <w:rFonts w:hint="eastAsia"/>
        </w:rPr>
        <w:t xml:space="preserve">资产负债:</w:t>
      </w:r>
      <w:r>
        <w:t xml:space="preserve"> </w:t>
      </w:r>
      <w:r>
        <w:rPr>
          <w:rFonts w:hint="eastAsia"/>
        </w:rPr>
        <w:t xml:space="preserve">现金</w:t>
      </w:r>
      <w:r>
        <w:t xml:space="preserve"> 2.5 bn </w:t>
      </w:r>
      <w:r>
        <w:rPr>
          <w:rFonts w:hint="eastAsia"/>
        </w:rPr>
        <w:t xml:space="preserve">USD；总负债</w:t>
      </w:r>
      <w:r>
        <w:t xml:space="preserve"> 9.4 bn </w:t>
      </w:r>
      <w:r>
        <w:rPr>
          <w:rFonts w:hint="eastAsia"/>
        </w:rPr>
        <w:t xml:space="preserve">USD；净现金</w:t>
      </w:r>
      <w:r>
        <w:t xml:space="preserve"> -6.9 bn USD。TTM FCF 2.4 bn </w:t>
      </w:r>
      <w:r>
        <w:rPr>
          <w:rFonts w:hint="eastAsia"/>
        </w:rPr>
        <w:t xml:space="preserve">USD（FCF率</w:t>
      </w:r>
      <w:r>
        <w:t xml:space="preserve"> </w:t>
      </w:r>
      <w:r>
        <w:rPr>
          <w:rFonts w:hint="eastAsia"/>
        </w:rPr>
        <w:t xml:space="preserve">14.1%）。</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0.67</w:t>
            </w:r>
          </w:p>
        </w:tc>
        <w:tc>
          <w:tcPr/>
          <w:p>
            <w:pPr>
              <w:pStyle w:val="Compact"/>
            </w:pPr>
            <w:r>
              <w:t xml:space="preserve">0.66471</w:t>
            </w:r>
          </w:p>
        </w:tc>
        <w:tc>
          <w:tcPr/>
          <w:p>
            <w:pPr>
              <w:pStyle w:val="Compact"/>
            </w:pPr>
            <w:r>
              <w:t xml:space="preserve">0.008</w:t>
            </w:r>
          </w:p>
        </w:tc>
      </w:tr>
      <w:tr>
        <w:tc>
          <w:tcPr/>
          <w:p>
            <w:pPr>
              <w:pStyle w:val="Compact"/>
            </w:pPr>
            <w:r>
              <w:t xml:space="preserve">2025-12-31</w:t>
            </w:r>
          </w:p>
        </w:tc>
        <w:tc>
          <w:tcPr/>
          <w:p>
            <w:pPr>
              <w:pStyle w:val="Compact"/>
            </w:pPr>
            <w:r>
              <w:t xml:space="preserve">0.72</w:t>
            </w:r>
          </w:p>
        </w:tc>
        <w:tc>
          <w:tcPr/>
          <w:p>
            <w:pPr>
              <w:pStyle w:val="Compact"/>
            </w:pPr>
            <w:r>
              <w:t xml:space="preserve">0.70535</w:t>
            </w:r>
          </w:p>
        </w:tc>
        <w:tc>
          <w:tcPr/>
          <w:p>
            <w:pPr>
              <w:pStyle w:val="Compact"/>
            </w:pPr>
            <w:r>
              <w:t xml:space="preserve">0.0208</w:t>
            </w:r>
          </w:p>
        </w:tc>
      </w:tr>
      <w:tr>
        <w:tc>
          <w:tcPr/>
          <w:p>
            <w:pPr>
              <w:pStyle w:val="Compact"/>
            </w:pPr>
            <w:r>
              <w:t xml:space="preserve">2026-03-31</w:t>
            </w:r>
          </w:p>
        </w:tc>
        <w:tc>
          <w:tcPr/>
          <w:p>
            <w:pPr>
              <w:pStyle w:val="Compact"/>
            </w:pPr>
            <w:r>
              <w:t xml:space="preserve">0.7</w:t>
            </w:r>
          </w:p>
        </w:tc>
        <w:tc>
          <w:tcPr/>
          <w:p>
            <w:pPr>
              <w:pStyle w:val="Compact"/>
            </w:pPr>
            <w:r>
              <w:t xml:space="preserve">0.6916</w:t>
            </w:r>
          </w:p>
        </w:tc>
        <w:tc>
          <w:tcPr/>
          <w:p>
            <w:pPr>
              <w:pStyle w:val="Compact"/>
            </w:pPr>
            <w:r>
              <w:t xml:space="preserve">0.0121</w:t>
            </w:r>
          </w:p>
        </w:tc>
      </w:tr>
      <w:tr>
        <w:tc>
          <w:tcPr/>
          <w:p>
            <w:pPr>
              <w:pStyle w:val="Compact"/>
            </w:pPr>
            <w:r>
              <w:t xml:space="preserve">2026-06-30</w:t>
            </w:r>
          </w:p>
        </w:tc>
        <w:tc>
          <w:tcPr/>
          <w:p>
            <w:pPr>
              <w:pStyle w:val="Compact"/>
            </w:pPr>
            <w:r>
              <w:t xml:space="preserve">0.78</w:t>
            </w:r>
          </w:p>
        </w:tc>
        <w:tc>
          <w:tcPr/>
          <w:p>
            <w:pPr>
              <w:pStyle w:val="Compact"/>
            </w:pPr>
            <w:r>
              <w:t xml:space="preserve">0.75378</w:t>
            </w:r>
          </w:p>
        </w:tc>
        <w:tc>
          <w:tcPr/>
          <w:p>
            <w:pPr>
              <w:pStyle w:val="Compact"/>
            </w:pPr>
            <w:r>
              <w:t xml:space="preserve">0.0348</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2026-10-27</w:t>
      </w:r>
      <w:r>
        <w:rPr>
          <w:rFonts w:hint="eastAsia"/>
        </w:rPr>
        <w:t xml:space="preserve">；本季EPS一致预期</w:t>
      </w:r>
      <w:r>
        <w:t xml:space="preserve"> </w:t>
      </w:r>
      <w:r>
        <w:rPr>
          <w:rFonts w:hint="eastAsia"/>
        </w:rPr>
        <w:t xml:space="preserve">0.87717（13位分析师）；收入一致预期</w:t>
      </w:r>
      <w:r>
        <w:t xml:space="preserve"> 5.0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$35.80</w:t>
            </w:r>
          </w:p>
        </w:tc>
        <w:tc>
          <w:tcPr/>
          <w:p>
            <w:pPr>
              <w:pStyle w:val="Compact"/>
            </w:pPr>
            <w:r>
              <w:t xml:space="preserve">-74.1%</w:t>
            </w:r>
          </w:p>
        </w:tc>
      </w:tr>
      <w:tr>
        <w:tc>
          <w:tcPr/>
          <w:p>
            <w:pPr>
              <w:pStyle w:val="Compact"/>
            </w:pPr>
            <w:r>
              <w:t xml:space="preserve">2Q</w:t>
            </w:r>
          </w:p>
        </w:tc>
        <w:tc>
          <w:tcPr/>
          <w:p>
            <w:pPr>
              <w:pStyle w:val="Compact"/>
            </w:pPr>
            <w:r>
              <w:t xml:space="preserve">Base</w:t>
            </w:r>
          </w:p>
        </w:tc>
        <w:tc>
          <w:tcPr/>
          <w:p>
            <w:pPr>
              <w:pStyle w:val="Compact"/>
            </w:pPr>
            <w:r>
              <w:t xml:space="preserve">$80.45</w:t>
            </w:r>
          </w:p>
        </w:tc>
        <w:tc>
          <w:tcPr/>
          <w:p>
            <w:pPr>
              <w:pStyle w:val="Compact"/>
            </w:pPr>
            <w:r>
              <w:t xml:space="preserve">-41.9%</w:t>
            </w:r>
          </w:p>
        </w:tc>
      </w:tr>
      <w:tr>
        <w:tc>
          <w:tcPr/>
          <w:p>
            <w:pPr>
              <w:pStyle w:val="Compact"/>
            </w:pPr>
            <w:r>
              <w:t xml:space="preserve">2Q</w:t>
            </w:r>
          </w:p>
        </w:tc>
        <w:tc>
          <w:tcPr/>
          <w:p>
            <w:pPr>
              <w:pStyle w:val="Compact"/>
            </w:pPr>
            <w:r>
              <w:t xml:space="preserve">Bull</w:t>
            </w:r>
          </w:p>
        </w:tc>
        <w:tc>
          <w:tcPr/>
          <w:p>
            <w:pPr>
              <w:pStyle w:val="Compact"/>
            </w:pPr>
            <w:r>
              <w:t xml:space="preserve">$131.39</w:t>
            </w:r>
          </w:p>
        </w:tc>
        <w:tc>
          <w:tcPr/>
          <w:p>
            <w:pPr>
              <w:pStyle w:val="Compact"/>
            </w:pPr>
            <w:r>
              <w:t xml:space="preserve">-5.1%</w:t>
            </w:r>
          </w:p>
        </w:tc>
      </w:tr>
      <w:tr>
        <w:tc>
          <w:tcPr/>
          <w:p>
            <w:pPr>
              <w:pStyle w:val="Compact"/>
            </w:pPr>
            <w:r>
              <w:t xml:space="preserve">4Q</w:t>
            </w:r>
          </w:p>
        </w:tc>
        <w:tc>
          <w:tcPr/>
          <w:p>
            <w:pPr>
              <w:pStyle w:val="Compact"/>
            </w:pPr>
            <w:r>
              <w:t xml:space="preserve">Bear</w:t>
            </w:r>
          </w:p>
        </w:tc>
        <w:tc>
          <w:tcPr/>
          <w:p>
            <w:pPr>
              <w:pStyle w:val="Compact"/>
            </w:pPr>
            <w:r>
              <w:t xml:space="preserve">$35.15</w:t>
            </w:r>
          </w:p>
        </w:tc>
        <w:tc>
          <w:tcPr/>
          <w:p>
            <w:pPr>
              <w:pStyle w:val="Compact"/>
            </w:pPr>
            <w:r>
              <w:t xml:space="preserve">-74.6%</w:t>
            </w:r>
          </w:p>
        </w:tc>
      </w:tr>
      <w:tr>
        <w:tc>
          <w:tcPr/>
          <w:p>
            <w:pPr>
              <w:pStyle w:val="Compact"/>
            </w:pPr>
            <w:r>
              <w:t xml:space="preserve">4Q</w:t>
            </w:r>
          </w:p>
        </w:tc>
        <w:tc>
          <w:tcPr/>
          <w:p>
            <w:pPr>
              <w:pStyle w:val="Compact"/>
            </w:pPr>
            <w:r>
              <w:t xml:space="preserve">Base</w:t>
            </w:r>
          </w:p>
        </w:tc>
        <w:tc>
          <w:tcPr/>
          <w:p>
            <w:pPr>
              <w:pStyle w:val="Compact"/>
            </w:pPr>
            <w:r>
              <w:t xml:space="preserve">$84.83</w:t>
            </w:r>
          </w:p>
        </w:tc>
        <w:tc>
          <w:tcPr/>
          <w:p>
            <w:pPr>
              <w:pStyle w:val="Compact"/>
            </w:pPr>
            <w:r>
              <w:t xml:space="preserve">-38.7%</w:t>
            </w:r>
          </w:p>
        </w:tc>
      </w:tr>
      <w:tr>
        <w:tc>
          <w:tcPr/>
          <w:p>
            <w:pPr>
              <w:pStyle w:val="Compact"/>
            </w:pPr>
            <w:r>
              <w:t xml:space="preserve">4Q</w:t>
            </w:r>
          </w:p>
        </w:tc>
        <w:tc>
          <w:tcPr/>
          <w:p>
            <w:pPr>
              <w:pStyle w:val="Compact"/>
            </w:pPr>
            <w:r>
              <w:t xml:space="preserve">Bull</w:t>
            </w:r>
          </w:p>
        </w:tc>
        <w:tc>
          <w:tcPr/>
          <w:p>
            <w:pPr>
              <w:pStyle w:val="Compact"/>
            </w:pPr>
            <w:r>
              <w:t xml:space="preserve">$144.12</w:t>
            </w:r>
          </w:p>
        </w:tc>
        <w:tc>
          <w:tcPr/>
          <w:p>
            <w:pPr>
              <w:pStyle w:val="Compact"/>
            </w:pPr>
            <w:r>
              <w:t xml:space="preserve">4.1%</w:t>
            </w:r>
          </w:p>
        </w:tc>
      </w:tr>
      <w:tr>
        <w:tc>
          <w:tcPr/>
          <w:p>
            <w:pPr>
              <w:pStyle w:val="Compact"/>
            </w:pPr>
            <w:r>
              <w:t xml:space="preserve">6Q</w:t>
            </w:r>
          </w:p>
        </w:tc>
        <w:tc>
          <w:tcPr/>
          <w:p>
            <w:pPr>
              <w:pStyle w:val="Compact"/>
            </w:pPr>
            <w:r>
              <w:t xml:space="preserve">Bear</w:t>
            </w:r>
          </w:p>
        </w:tc>
        <w:tc>
          <w:tcPr/>
          <w:p>
            <w:pPr>
              <w:pStyle w:val="Compact"/>
            </w:pPr>
            <w:r>
              <w:t xml:space="preserve">$34.49</w:t>
            </w:r>
          </w:p>
        </w:tc>
        <w:tc>
          <w:tcPr/>
          <w:p>
            <w:pPr>
              <w:pStyle w:val="Compact"/>
            </w:pPr>
            <w:r>
              <w:t xml:space="preserve">-75.1%</w:t>
            </w:r>
          </w:p>
        </w:tc>
      </w:tr>
      <w:tr>
        <w:tc>
          <w:tcPr/>
          <w:p>
            <w:pPr>
              <w:pStyle w:val="Compact"/>
            </w:pPr>
            <w:r>
              <w:t xml:space="preserve">6Q</w:t>
            </w:r>
          </w:p>
        </w:tc>
        <w:tc>
          <w:tcPr/>
          <w:p>
            <w:pPr>
              <w:pStyle w:val="Compact"/>
            </w:pPr>
            <w:r>
              <w:t xml:space="preserve">Base</w:t>
            </w:r>
          </w:p>
        </w:tc>
        <w:tc>
          <w:tcPr/>
          <w:p>
            <w:pPr>
              <w:pStyle w:val="Compact"/>
            </w:pPr>
            <w:r>
              <w:t xml:space="preserve">$89.37</w:t>
            </w:r>
          </w:p>
        </w:tc>
        <w:tc>
          <w:tcPr/>
          <w:p>
            <w:pPr>
              <w:pStyle w:val="Compact"/>
            </w:pPr>
            <w:r>
              <w:t xml:space="preserve">-35.4%</w:t>
            </w:r>
          </w:p>
        </w:tc>
      </w:tr>
      <w:tr>
        <w:tc>
          <w:tcPr/>
          <w:p>
            <w:pPr>
              <w:pStyle w:val="Compact"/>
            </w:pPr>
            <w:r>
              <w:t xml:space="preserve">6Q</w:t>
            </w:r>
          </w:p>
        </w:tc>
        <w:tc>
          <w:tcPr/>
          <w:p>
            <w:pPr>
              <w:pStyle w:val="Compact"/>
            </w:pPr>
            <w:r>
              <w:t xml:space="preserve">Bull</w:t>
            </w:r>
          </w:p>
        </w:tc>
        <w:tc>
          <w:tcPr/>
          <w:p>
            <w:pPr>
              <w:pStyle w:val="Compact"/>
            </w:pPr>
            <w:r>
              <w:t xml:space="preserve">$157.87</w:t>
            </w:r>
          </w:p>
        </w:tc>
        <w:tc>
          <w:tcPr/>
          <w:p>
            <w:pPr>
              <w:pStyle w:val="Compact"/>
            </w:pPr>
            <w:r>
              <w:t xml:space="preserve">14.0%</w:t>
            </w:r>
          </w:p>
        </w:tc>
      </w:tr>
      <w:tr>
        <w:tc>
          <w:tcPr/>
          <w:p>
            <w:pPr>
              <w:pStyle w:val="Compact"/>
            </w:pPr>
            <w:r>
              <w:t xml:space="preserve">8Q</w:t>
            </w:r>
          </w:p>
        </w:tc>
        <w:tc>
          <w:tcPr/>
          <w:p>
            <w:pPr>
              <w:pStyle w:val="Compact"/>
            </w:pPr>
            <w:r>
              <w:t xml:space="preserve">Bear</w:t>
            </w:r>
          </w:p>
        </w:tc>
        <w:tc>
          <w:tcPr/>
          <w:p>
            <w:pPr>
              <w:pStyle w:val="Compact"/>
            </w:pPr>
            <w:r>
              <w:t xml:space="preserve">$33.83</w:t>
            </w:r>
          </w:p>
        </w:tc>
        <w:tc>
          <w:tcPr/>
          <w:p>
            <w:pPr>
              <w:pStyle w:val="Compact"/>
            </w:pPr>
            <w:r>
              <w:t xml:space="preserve">-75.6%</w:t>
            </w:r>
          </w:p>
        </w:tc>
      </w:tr>
      <w:tr>
        <w:tc>
          <w:tcPr/>
          <w:p>
            <w:pPr>
              <w:pStyle w:val="Compact"/>
            </w:pPr>
            <w:r>
              <w:t xml:space="preserve">8Q</w:t>
            </w:r>
          </w:p>
        </w:tc>
        <w:tc>
          <w:tcPr/>
          <w:p>
            <w:pPr>
              <w:pStyle w:val="Compact"/>
            </w:pPr>
            <w:r>
              <w:t xml:space="preserve">Base</w:t>
            </w:r>
          </w:p>
        </w:tc>
        <w:tc>
          <w:tcPr/>
          <w:p>
            <w:pPr>
              <w:pStyle w:val="Compact"/>
            </w:pPr>
            <w:r>
              <w:t xml:space="preserve">$94.09</w:t>
            </w:r>
          </w:p>
        </w:tc>
        <w:tc>
          <w:tcPr/>
          <w:p>
            <w:pPr>
              <w:pStyle w:val="Compact"/>
            </w:pPr>
            <w:r>
              <w:t xml:space="preserve">-32.0%</w:t>
            </w:r>
          </w:p>
        </w:tc>
      </w:tr>
      <w:tr>
        <w:tc>
          <w:tcPr/>
          <w:p>
            <w:pPr>
              <w:pStyle w:val="Compact"/>
            </w:pPr>
            <w:r>
              <w:t xml:space="preserve">8Q</w:t>
            </w:r>
          </w:p>
        </w:tc>
        <w:tc>
          <w:tcPr/>
          <w:p>
            <w:pPr>
              <w:pStyle w:val="Compact"/>
            </w:pPr>
            <w:r>
              <w:t xml:space="preserve">Bull</w:t>
            </w:r>
          </w:p>
        </w:tc>
        <w:tc>
          <w:tcPr/>
          <w:p>
            <w:pPr>
              <w:pStyle w:val="Compact"/>
            </w:pPr>
            <w:r>
              <w:t xml:space="preserve">$172.71</w:t>
            </w:r>
          </w:p>
        </w:tc>
        <w:tc>
          <w:tcPr/>
          <w:p>
            <w:pPr>
              <w:pStyle w:val="Compact"/>
            </w:pPr>
            <w:r>
              <w:t xml:space="preserve">24.8%</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39.5x</w:t>
            </w:r>
          </w:p>
        </w:tc>
      </w:tr>
      <w:tr>
        <w:tc>
          <w:tcPr/>
          <w:p>
            <w:pPr>
              <w:pStyle w:val="Compact"/>
            </w:pPr>
            <w:r>
              <w:t xml:space="preserve">4Q</w:t>
            </w:r>
          </w:p>
        </w:tc>
        <w:tc>
          <w:tcPr/>
          <w:p>
            <w:pPr>
              <w:pStyle w:val="Compact"/>
            </w:pPr>
            <w:r>
              <w:t xml:space="preserve">35.9x</w:t>
            </w:r>
          </w:p>
        </w:tc>
      </w:tr>
      <w:tr>
        <w:tc>
          <w:tcPr/>
          <w:p>
            <w:pPr>
              <w:pStyle w:val="Compact"/>
            </w:pPr>
            <w:r>
              <w:t xml:space="preserve">6Q</w:t>
            </w:r>
          </w:p>
        </w:tc>
        <w:tc>
          <w:tcPr/>
          <w:p>
            <w:pPr>
              <w:pStyle w:val="Compact"/>
            </w:pPr>
            <w:r>
              <w:t xml:space="preserve">32.6x</w:t>
            </w:r>
          </w:p>
        </w:tc>
      </w:tr>
      <w:tr>
        <w:tc>
          <w:tcPr/>
          <w:p>
            <w:pPr>
              <w:pStyle w:val="Compact"/>
            </w:pPr>
            <w:r>
              <w:t xml:space="preserve">8Q</w:t>
            </w:r>
          </w:p>
        </w:tc>
        <w:tc>
          <w:tcPr/>
          <w:p>
            <w:pPr>
              <w:pStyle w:val="Compact"/>
            </w:pPr>
            <w:r>
              <w:t xml:space="preserve">29.6x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9.8%</w:t>
            </w:r>
          </w:p>
        </w:tc>
        <w:tc>
          <w:tcPr/>
          <w:p>
            <w:pPr>
              <w:pStyle w:val="Compact"/>
            </w:pPr>
            <w:r>
              <w:t xml:space="preserve">12.0%</w:t>
            </w:r>
          </w:p>
        </w:tc>
        <w:tc>
          <w:tcPr/>
          <w:p>
            <w:pPr>
              <w:pStyle w:val="Compact"/>
            </w:pPr>
            <w:r>
              <w:t xml:space="preserve">11.8%</w:t>
            </w:r>
          </w:p>
        </w:tc>
        <w:tc>
          <w:tcPr/>
          <w:p>
            <w:pPr>
              <w:pStyle w:val="Compact"/>
            </w:pPr>
            <w:r>
              <w:t xml:space="preserve">2.5%</w:t>
            </w:r>
          </w:p>
        </w:tc>
        <w:tc>
          <w:tcPr/>
          <w:p>
            <w:pPr>
              <w:pStyle w:val="Compact"/>
            </w:pPr>
            <w:r>
              <w:t xml:space="preserve">25.0%</w:t>
            </w:r>
          </w:p>
        </w:tc>
        <w:tc>
          <w:tcPr/>
          <w:p>
            <w:pPr>
              <w:pStyle w:val="Compact"/>
            </w:pPr>
            <w:r>
              <w:t xml:space="preserve">$27.44</w:t>
            </w:r>
          </w:p>
        </w:tc>
        <w:tc>
          <w:tcPr/>
          <w:p>
            <w:pPr>
              <w:pStyle w:val="Compact"/>
            </w:pPr>
            <w:r>
              <w:t xml:space="preserve">-80.2%</w:t>
            </w:r>
          </w:p>
        </w:tc>
      </w:tr>
      <w:tr>
        <w:tc>
          <w:tcPr/>
          <w:p>
            <w:pPr>
              <w:pStyle w:val="Compact"/>
            </w:pPr>
            <w:r>
              <w:t xml:space="preserve">Base</w:t>
            </w:r>
          </w:p>
        </w:tc>
        <w:tc>
          <w:tcPr/>
          <w:p>
            <w:pPr>
              <w:pStyle w:val="Compact"/>
            </w:pPr>
            <w:r>
              <w:t xml:space="preserve">19.6%</w:t>
            </w:r>
          </w:p>
        </w:tc>
        <w:tc>
          <w:tcPr/>
          <w:p>
            <w:pPr>
              <w:pStyle w:val="Compact"/>
            </w:pPr>
            <w:r>
              <w:t xml:space="preserve">15.0%</w:t>
            </w:r>
          </w:p>
        </w:tc>
        <w:tc>
          <w:tcPr/>
          <w:p>
            <w:pPr>
              <w:pStyle w:val="Compact"/>
            </w:pPr>
            <w:r>
              <w:t xml:space="preserve">10.8%</w:t>
            </w:r>
          </w:p>
        </w:tc>
        <w:tc>
          <w:tcPr/>
          <w:p>
            <w:pPr>
              <w:pStyle w:val="Compact"/>
            </w:pPr>
            <w:r>
              <w:t xml:space="preserve">3.0%</w:t>
            </w:r>
          </w:p>
        </w:tc>
        <w:tc>
          <w:tcPr/>
          <w:p>
            <w:pPr>
              <w:pStyle w:val="Compact"/>
            </w:pPr>
            <w:r>
              <w:t xml:space="preserve">50.0%</w:t>
            </w:r>
          </w:p>
        </w:tc>
        <w:tc>
          <w:tcPr/>
          <w:p>
            <w:pPr>
              <w:pStyle w:val="Compact"/>
            </w:pPr>
            <w:r>
              <w:t xml:space="preserve">$66.60</w:t>
            </w:r>
          </w:p>
        </w:tc>
        <w:tc>
          <w:tcPr/>
          <w:p>
            <w:pPr>
              <w:pStyle w:val="Compact"/>
            </w:pPr>
            <w:r>
              <w:t xml:space="preserve">-51.9%</w:t>
            </w:r>
          </w:p>
        </w:tc>
      </w:tr>
      <w:tr>
        <w:tc>
          <w:tcPr/>
          <w:p>
            <w:pPr>
              <w:pStyle w:val="Compact"/>
            </w:pPr>
            <w:r>
              <w:t xml:space="preserve">Bull</w:t>
            </w:r>
          </w:p>
        </w:tc>
        <w:tc>
          <w:tcPr/>
          <w:p>
            <w:pPr>
              <w:pStyle w:val="Compact"/>
            </w:pPr>
            <w:r>
              <w:t xml:space="preserve">25.5%</w:t>
            </w:r>
          </w:p>
        </w:tc>
        <w:tc>
          <w:tcPr/>
          <w:p>
            <w:pPr>
              <w:pStyle w:val="Compact"/>
            </w:pPr>
            <w:r>
              <w:t xml:space="preserve">17.2%</w:t>
            </w:r>
          </w:p>
        </w:tc>
        <w:tc>
          <w:tcPr/>
          <w:p>
            <w:pPr>
              <w:pStyle w:val="Compact"/>
            </w:pPr>
            <w:r>
              <w:t xml:space="preserve">10.3%</w:t>
            </w:r>
          </w:p>
        </w:tc>
        <w:tc>
          <w:tcPr/>
          <w:p>
            <w:pPr>
              <w:pStyle w:val="Compact"/>
            </w:pPr>
            <w:r>
              <w:t xml:space="preserve">3.5%</w:t>
            </w:r>
          </w:p>
        </w:tc>
        <w:tc>
          <w:tcPr/>
          <w:p>
            <w:pPr>
              <w:pStyle w:val="Compact"/>
            </w:pPr>
            <w:r>
              <w:t xml:space="preserve">25.0%</w:t>
            </w:r>
          </w:p>
        </w:tc>
        <w:tc>
          <w:tcPr/>
          <w:p>
            <w:pPr>
              <w:pStyle w:val="Compact"/>
            </w:pPr>
            <w:r>
              <w:t xml:space="preserve">$113.78</w:t>
            </w:r>
          </w:p>
        </w:tc>
        <w:tc>
          <w:tcPr/>
          <w:p>
            <w:pPr>
              <w:pStyle w:val="Compact"/>
            </w:pPr>
            <w:r>
              <w:t xml:space="preserve">-17.8%</w:t>
            </w:r>
          </w:p>
        </w:tc>
      </w:tr>
    </w:tbl>
    <w:p>
      <w:pPr>
        <w:pStyle w:val="BodyText"/>
      </w:pPr>
      <w:r>
        <w:rPr>
          <w:rFonts w:hint="eastAsia"/>
        </w:rPr>
        <w:t xml:space="preserve">概率加权价值</w:t>
      </w:r>
      <w:r>
        <w:t xml:space="preserve"> </w:t>
      </w:r>
      <w:r>
        <w:rPr>
          <w:b/>
          <w:bCs/>
        </w:rPr>
        <w:t xml:space="preserve">$68.61</w:t>
      </w:r>
      <w:r>
        <w:rPr>
          <w:rFonts w:hint="eastAsia"/>
        </w:rPr>
        <w:t xml:space="preserve">（相对现价</w:t>
      </w:r>
      <w:r>
        <w:t xml:space="preserve"> </w:t>
      </w:r>
      <w:r>
        <w:rPr>
          <w:rFonts w:hint="eastAsia"/>
        </w:rPr>
        <w:t xml:space="preserve">-50.4%）。</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64.2 bn </w:t>
      </w:r>
      <w:r>
        <w:rPr>
          <w:rFonts w:hint="eastAsia"/>
        </w:rPr>
        <w:t xml:space="preserve">USD；终值占比</w:t>
      </w:r>
      <w:r>
        <w:t xml:space="preserve"> 54.1%。</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37.9%</w:t>
      </w:r>
      <w:r>
        <w:rPr>
          <w:rFonts w:hint="eastAsia"/>
        </w:rPr>
        <w:t xml:space="preserve">；一致预期FY+1增速</w:t>
      </w:r>
      <w:r>
        <w:t xml:space="preserve"> 19.6%。</w:t>
      </w:r>
    </w:p>
    <w:p>
      <w:pPr>
        <w:numPr>
          <w:ilvl w:val="0"/>
          <w:numId w:val="1005"/>
        </w:numPr>
      </w:pPr>
      <w:r>
        <w:t xml:space="preserve">WACC (CAPM) = rf 5.2% + β 1.12 × ERP 5.0% = 10.8%。</w:t>
      </w:r>
    </w:p>
    <w:p>
      <w:pPr>
        <w:numPr>
          <w:ilvl w:val="0"/>
          <w:numId w:val="1005"/>
        </w:numPr>
      </w:pPr>
      <w:r>
        <w:t xml:space="preserve">SOTP segments </w:t>
      </w:r>
      <w:r>
        <w:rPr>
          <w:rFonts w:hint="eastAsia"/>
        </w:rPr>
        <w:t xml:space="preserve">分部:</w:t>
      </w:r>
      <w:r>
        <w:t xml:space="preserve"> Optical Communications </w:t>
      </w:r>
      <w:r>
        <w:rPr>
          <w:rFonts w:hint="eastAsia"/>
        </w:rPr>
        <w:t xml:space="preserve">光通信;</w:t>
      </w:r>
      <w:r>
        <w:t xml:space="preserve"> Display </w:t>
      </w:r>
      <w:r>
        <w:rPr>
          <w:rFonts w:hint="eastAsia"/>
        </w:rPr>
        <w:t xml:space="preserve">显示;</w:t>
      </w:r>
      <w:r>
        <w:t xml:space="preserve"> Specialty Materials </w:t>
      </w:r>
      <w:r>
        <w:rPr>
          <w:rFonts w:hint="eastAsia"/>
        </w:rPr>
        <w:t xml:space="preserve">特种材料(Gorilla);</w:t>
      </w:r>
      <w:r>
        <w:t xml:space="preserve"> Environmental/Life Sci/Solar </w:t>
      </w:r>
      <w:r>
        <w:rPr>
          <w:rFonts w:hint="eastAsia"/>
        </w:rPr>
        <w:t xml:space="preserve">其他.</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GLW | 119.2 bn USD | 7.5x | 31.7x | 16.6% | 36.4% | 2.0% |</w:t>
      </w:r>
      <w:r>
        <w:t xml:space="preserve"> </w:t>
      </w:r>
      <w:r>
        <w:t xml:space="preserve">| COHR | 49.4 bn USD | 7.2x | 17.8x | 33.7% | 37.5% | -1.3% |</w:t>
      </w:r>
      <w:r>
        <w:t xml:space="preserve"> </w:t>
      </w:r>
      <w:r>
        <w:t xml:space="preserve">| LITE | 78.8 bn USD | 25.5x | 24.1x | 109.3% | 44.2% | 0.3% |</w:t>
      </w:r>
      <w:r>
        <w:t xml:space="preserve"> </w:t>
      </w:r>
      <w:r>
        <w:t xml:space="preserve">| CIEN | 50.6 bn USD | 8.5x | 30.1x | 37.0% | 44.1% | 1.3% |</w:t>
      </w:r>
      <w:r>
        <w:t xml:space="preserve"> </w:t>
      </w:r>
      <w:r>
        <w:t xml:space="preserve">| APH | 201.0 bn USD | 7.4x | 24.4x | 55.0% | 39.0% | 1.9%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Display weakness, fiber pricing from Chinese competition, capex </w:t>
      </w:r>
      <w:r>
        <w:rPr>
          <w:rFonts w:hint="eastAsia"/>
        </w:rPr>
        <w:t xml:space="preserve">digestion｜显示疲弱、中国光纤价格竞争、Capex消化</w:t>
      </w:r>
    </w:p>
    <w:p>
      <w:pPr>
        <w:pStyle w:val="Compact"/>
        <w:numPr>
          <w:ilvl w:val="0"/>
          <w:numId w:val="1006"/>
        </w:numPr>
      </w:pPr>
      <w:r>
        <w:rPr>
          <w:rFonts w:hint="eastAsia"/>
        </w:rPr>
        <w:t xml:space="preserve">证伪指标:</w:t>
      </w:r>
      <w:r>
        <w:t xml:space="preserve"> Optical Comms growth decelerates below enterprise market; Springboard margin targets </w:t>
      </w:r>
      <w:r>
        <w:rPr>
          <w:rFonts w:hint="eastAsia"/>
        </w:rPr>
        <w:t xml:space="preserve">missed｜光通信增速回落；Springboard利润率目标落空</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138.4</w:t>
            </w:r>
          </w:p>
        </w:tc>
        <w:tc>
          <w:tcPr/>
          <w:p>
            <w:pPr>
              <w:pStyle w:val="Compact"/>
            </w:pPr>
            <w:r>
              <w:t xml:space="preserve">Yahoo Finance quote, fetched 2026-10-16T07:56 SGT</w:t>
            </w:r>
          </w:p>
        </w:tc>
      </w:tr>
      <w:tr>
        <w:tc>
          <w:tcPr/>
          <w:p>
            <w:pPr>
              <w:pStyle w:val="Compact"/>
            </w:pPr>
            <w:r>
              <w:t xml:space="preserve">Market cap </w:t>
            </w:r>
            <w:r>
              <w:rPr>
                <w:rFonts w:hint="eastAsia"/>
              </w:rPr>
              <w:t xml:space="preserve">市值</w:t>
            </w:r>
          </w:p>
        </w:tc>
        <w:tc>
          <w:tcPr/>
          <w:p>
            <w:pPr>
              <w:pStyle w:val="Compact"/>
            </w:pPr>
            <w:r>
              <w:t xml:space="preserve">1.192e+11</w:t>
            </w:r>
          </w:p>
        </w:tc>
        <w:tc>
          <w:tcPr/>
          <w:p>
            <w:pPr>
              <w:pStyle w:val="Compact"/>
            </w:pPr>
            <w:r>
              <w:t xml:space="preserve">Yahoo info.marketCap 2026-10-16T07:56</w:t>
            </w:r>
          </w:p>
        </w:tc>
      </w:tr>
      <w:tr>
        <w:tc>
          <w:tcPr/>
          <w:p>
            <w:pPr>
              <w:pStyle w:val="Compact"/>
            </w:pPr>
            <w:r>
              <w:t xml:space="preserve">Cash </w:t>
            </w:r>
            <w:r>
              <w:rPr>
                <w:rFonts w:hint="eastAsia"/>
              </w:rPr>
              <w:t xml:space="preserve">现金</w:t>
            </w:r>
          </w:p>
        </w:tc>
        <w:tc>
          <w:tcPr/>
          <w:p>
            <w:pPr>
              <w:pStyle w:val="Compact"/>
            </w:pPr>
            <w:r>
              <w:t xml:space="preserve">2.504e+09</w:t>
            </w:r>
          </w:p>
        </w:tc>
        <w:tc>
          <w:tcPr/>
          <w:p>
            <w:pPr>
              <w:pStyle w:val="Compact"/>
            </w:pPr>
            <w:r>
              <w:t xml:space="preserve">Yahoo info.totalCash (latest filing) 2026-10-16T07:56</w:t>
            </w:r>
          </w:p>
        </w:tc>
      </w:tr>
      <w:tr>
        <w:tc>
          <w:tcPr/>
          <w:p>
            <w:pPr>
              <w:pStyle w:val="Compact"/>
            </w:pPr>
            <w:r>
              <w:t xml:space="preserve">Debt </w:t>
            </w:r>
            <w:r>
              <w:rPr>
                <w:rFonts w:hint="eastAsia"/>
              </w:rPr>
              <w:t xml:space="preserve">负债</w:t>
            </w:r>
          </w:p>
        </w:tc>
        <w:tc>
          <w:tcPr/>
          <w:p>
            <w:pPr>
              <w:pStyle w:val="Compact"/>
            </w:pPr>
            <w:r>
              <w:t xml:space="preserve">9.379e+09</w:t>
            </w:r>
          </w:p>
        </w:tc>
        <w:tc>
          <w:tcPr/>
          <w:p>
            <w:pPr>
              <w:pStyle w:val="Compact"/>
            </w:pPr>
            <w:r>
              <w:t xml:space="preserve">Yahoo info.totalDebt (latest filing) 2026-10-16T07:56</w:t>
            </w:r>
          </w:p>
        </w:tc>
      </w:tr>
      <w:tr>
        <w:tc>
          <w:tcPr/>
          <w:p>
            <w:pPr>
              <w:pStyle w:val="Compact"/>
            </w:pPr>
            <w:r>
              <w:t xml:space="preserve">Revenue TTM </w:t>
            </w:r>
            <w:r>
              <w:rPr>
                <w:rFonts w:hint="eastAsia"/>
              </w:rPr>
              <w:t xml:space="preserve">收入</w:t>
            </w:r>
          </w:p>
        </w:tc>
        <w:tc>
          <w:tcPr/>
          <w:p>
            <w:pPr>
              <w:pStyle w:val="Compact"/>
            </w:pPr>
            <w:r>
              <w:t xml:space="preserve">1.696e+10</w:t>
            </w:r>
          </w:p>
        </w:tc>
        <w:tc>
          <w:tcPr/>
          <w:p>
            <w:pPr>
              <w:pStyle w:val="Compact"/>
            </w:pPr>
            <w:r>
              <w:t xml:space="preserve">Yahoo info.totalRevenue (TTM, USD) 2026-10-16T07:56</w:t>
            </w:r>
          </w:p>
        </w:tc>
      </w:tr>
      <w:tr>
        <w:tc>
          <w:tcPr/>
          <w:p>
            <w:pPr>
              <w:pStyle w:val="Compact"/>
            </w:pPr>
            <w:r>
              <w:t xml:space="preserve">FCF TTM </w:t>
            </w:r>
            <w:r>
              <w:rPr>
                <w:rFonts w:hint="eastAsia"/>
              </w:rPr>
              <w:t xml:space="preserve">自由现金流</w:t>
            </w:r>
          </w:p>
        </w:tc>
        <w:tc>
          <w:tcPr/>
          <w:p>
            <w:pPr>
              <w:pStyle w:val="Compact"/>
            </w:pPr>
            <w:r>
              <w:t xml:space="preserve">2.395e+09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1.123</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0.0519</w:t>
            </w:r>
          </w:p>
        </w:tc>
        <w:tc>
          <w:tcPr/>
          <w:p>
            <w:pPr>
              <w:pStyle w:val="Compact"/>
            </w:pPr>
            <w:r>
              <w:t xml:space="preserve">FRED DGS10 2026-10-14</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0.1767</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0.1964</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1.12</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0.1964</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0.1412</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GLW_model_v20261016-0756.xlsx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data/snapshots/20261016-0756</w:t>
      </w:r>
      <w:r>
        <w:t xml:space="preserve"> </w:t>
      </w:r>
      <w:r>
        <w:t xml:space="preserve">(immutable) | Fetched 2026-10-16 07:56 SGT | Generated 2026-10-16 07:57 SGT</w:t>
      </w:r>
    </w:p>
    <w:p>
      <w:pPr>
        <w:pStyle w:val="Compact"/>
        <w:numPr>
          <w:ilvl w:val="0"/>
          <w:numId w:val="1007"/>
        </w:numPr>
      </w:pPr>
      <w:r>
        <w:t xml:space="preserve">Version: v20261016-0756.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v20261016-0756: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2026-10-27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GLW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GLW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GLW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GLW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GLW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cbfbf4aa9197a739d49bc578611bb7fe1717ba6"/>
    <w:p>
      <w:pPr>
        <w:pStyle w:val="Heading1"/>
      </w:pPr>
      <w:r>
        <w:t xml:space="preserve">GLW Corning Incorporated — Equity Deep Dive (Professional English) v20261016-0756</w:t>
      </w:r>
    </w:p>
    <w:p>
      <w:pPr>
        <w:pStyle w:val="BlockText"/>
      </w:pPr>
      <w:r>
        <w:t xml:space="preserve">Data as of 2026-10-16 07:56 SGT | Price $138.43 | Mkt cap 119.2 bn USD | Reporting currency USD | Not investment advice.</w:t>
      </w:r>
    </w:p>
    <w:bookmarkStart w:id="39" w:name="investment-thesis-hypothesis"/>
    <w:p>
      <w:pPr>
        <w:pStyle w:val="Heading2"/>
      </w:pPr>
      <w:r>
        <w:t xml:space="preserve">1. Investment thesis (HYPOTHESIS)</w:t>
      </w:r>
    </w:p>
    <w:p>
      <w:pPr>
        <w:pStyle w:val="FirstParagraph"/>
      </w:pPr>
      <w:r>
        <w:t xml:space="preserve">AI clusters massively raise fiber density inside and between data centers, making Corning Optical a</w:t>
      </w:r>
      <w:r>
        <w:t xml:space="preserve"> </w:t>
      </w:r>
      <w:r>
        <w:t xml:space="preserve">‘copper-to-optics’</w:t>
      </w:r>
      <w:r>
        <w:t xml:space="preserve"> </w:t>
      </w:r>
      <w:r>
        <w:t xml:space="preserve">beneficiary; its Springboard plan targets margin expansion.</w:t>
      </w:r>
    </w:p>
    <w:p>
      <w:pPr>
        <w:pStyle w:val="Compact"/>
        <w:numPr>
          <w:ilvl w:val="0"/>
          <w:numId w:val="1009"/>
        </w:numPr>
      </w:pPr>
      <w:r>
        <w:rPr>
          <w:b/>
          <w:bCs/>
        </w:rPr>
        <w:t xml:space="preserve">Bull drivers</w:t>
      </w:r>
      <w:r>
        <w:t xml:space="preserve">: Hyperscaler fiber contracts scale; CPO raises fiber-attach; solar/specialty </w:t>
      </w:r>
      <w:r>
        <w:rPr>
          <w:rFonts w:hint="eastAsia"/>
        </w:rPr>
        <w:t xml:space="preserve">recover｜云厂光纤合约放量；CPO提升光纤连接量；光伏/特材复苏</w:t>
      </w:r>
    </w:p>
    <w:p>
      <w:pPr>
        <w:pStyle w:val="Compact"/>
        <w:numPr>
          <w:ilvl w:val="0"/>
          <w:numId w:val="1009"/>
        </w:numPr>
      </w:pPr>
      <w:r>
        <w:rPr>
          <w:b/>
          <w:bCs/>
        </w:rPr>
        <w:t xml:space="preserve">Bear drivers</w:t>
      </w:r>
      <w:r>
        <w:t xml:space="preserve">: Display weakness, fiber pricing from Chinese competition, capex </w:t>
      </w:r>
      <w:r>
        <w:rPr>
          <w:rFonts w:hint="eastAsia"/>
        </w:rPr>
        <w:t xml:space="preserve">digestion｜显示疲弱、中国光纤价格竞争、Capex消化</w:t>
      </w:r>
    </w:p>
    <w:p>
      <w:pPr>
        <w:pStyle w:val="Compact"/>
        <w:numPr>
          <w:ilvl w:val="0"/>
          <w:numId w:val="1009"/>
        </w:numPr>
      </w:pPr>
      <w:r>
        <w:rPr>
          <w:b/>
          <w:bCs/>
        </w:rPr>
        <w:t xml:space="preserve">Falsifiers</w:t>
      </w:r>
      <w:r>
        <w:t xml:space="preserve">: Optical Comms growth decelerates below enterprise market; Springboard margin targets </w:t>
      </w:r>
      <w:r>
        <w:rPr>
          <w:rFonts w:hint="eastAsia"/>
        </w:rPr>
        <w:t xml:space="preserve">missed｜光通信增速回落；Springboard利润率目标落空</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Optical fiber / specialty glass </w:t>
      </w:r>
      <w:r>
        <w:rPr>
          <w:rFonts w:hint="eastAsia"/>
        </w:rPr>
        <w:t xml:space="preserve">光纤/特种玻璃</w:t>
      </w:r>
      <w:r>
        <w:t xml:space="preserve"> | Segments: Optical Communications </w:t>
      </w:r>
      <w:r>
        <w:rPr>
          <w:rFonts w:hint="eastAsia"/>
        </w:rPr>
        <w:t xml:space="preserve">光通信;</w:t>
      </w:r>
      <w:r>
        <w:t xml:space="preserve"> Display </w:t>
      </w:r>
      <w:r>
        <w:rPr>
          <w:rFonts w:hint="eastAsia"/>
        </w:rPr>
        <w:t xml:space="preserve">显示;</w:t>
      </w:r>
      <w:r>
        <w:t xml:space="preserve"> Specialty Materials </w:t>
      </w:r>
      <w:r>
        <w:rPr>
          <w:rFonts w:hint="eastAsia"/>
        </w:rPr>
        <w:t xml:space="preserve">特种材料(Gorilla);</w:t>
      </w:r>
      <w:r>
        <w:t xml:space="preserve"> Environmental/Life Sci/Solar </w:t>
      </w:r>
      <w:r>
        <w:rPr>
          <w:rFonts w:hint="eastAsia"/>
        </w:rPr>
        <w:t xml:space="preserve">其他</w:t>
      </w:r>
    </w:p>
    <w:p>
      <w:pPr>
        <w:pStyle w:val="Compact"/>
        <w:numPr>
          <w:ilvl w:val="0"/>
          <w:numId w:val="1010"/>
        </w:numPr>
      </w:pPr>
      <w:r>
        <w:t xml:space="preserve">Business description (DATA): Corning Incorporated operates in optical communications, display, specialty materials, automotive, and life sciences businesses in the United States, Canada, Mexico, Japan, Taiwan, China, South Korea, Germany, and internationally. The company provides optical fibers and cables; and hardware and equipment products, such as cable assemblies, fiber optic hardware and connectors, optical components and couplers, closures, network interface devices, and other accessories for the telecommunications industry, businesses, governments, and individuals. It also offers glass substrates for flat panel displays, including liquid crystal displays and organic light-emitting diodes that are used in televisions, notebook computers, desktop monitors, tablets, and handheld devices. In addition, it manufactures products that offer material formulations for glass, glass ceramics, crystals, precision metrolog</w:t>
      </w:r>
    </w:p>
    <w:p>
      <w:pPr>
        <w:pStyle w:val="Compact"/>
        <w:numPr>
          <w:ilvl w:val="0"/>
          <w:numId w:val="1010"/>
        </w:numPr>
      </w:pPr>
      <w:r>
        <w:t xml:space="preserve">Customers: Hyperscalers &amp; carriers (fiber/connectivity), Samsung/LG/BOE (display), Apple (cover </w:t>
      </w:r>
      <w:r>
        <w:rPr>
          <w:rFonts w:hint="eastAsia"/>
        </w:rPr>
        <w:t xml:space="preserve">glass)｜云厂与电信商、面板厂、苹果</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Raw materials (silica, germanium), energy; in-house glass </w:t>
      </w:r>
      <w:r>
        <w:rPr>
          <w:rFonts w:hint="eastAsia"/>
        </w:rPr>
        <w:t xml:space="preserve">tech｜原材料(硅、锗)、能源；自有玻璃工艺</w:t>
      </w:r>
    </w:p>
    <w:p>
      <w:pPr>
        <w:pStyle w:val="Compact"/>
        <w:numPr>
          <w:ilvl w:val="0"/>
          <w:numId w:val="1011"/>
        </w:numPr>
      </w:pPr>
      <w:r>
        <w:t xml:space="preserve">Competitors: Prysmian, Fujikura, Sumitomo, YOFC (fiber); AGC, NEG </w:t>
      </w:r>
      <w:r>
        <w:rPr>
          <w:rFonts w:hint="eastAsia"/>
        </w:rPr>
        <w:t xml:space="preserve">(glass)｜普睿司曼、藤仓、住友、长飞；旭硝子、日本电气硝子</w:t>
      </w:r>
    </w:p>
    <w:p>
      <w:pPr>
        <w:pStyle w:val="Compact"/>
        <w:numPr>
          <w:ilvl w:val="0"/>
          <w:numId w:val="1011"/>
        </w:numPr>
      </w:pPr>
      <w:r>
        <w:t xml:space="preserve">Bottlenecks/regulation: High-density fiber/cable capacity for AI data centers; preform </w:t>
      </w:r>
      <w:r>
        <w:rPr>
          <w:rFonts w:hint="eastAsia"/>
        </w:rPr>
        <w:t xml:space="preserve">capacity｜AI数据中心高密度光纤/光缆产能、预制棒产能</w:t>
      </w:r>
    </w:p>
    <w:p>
      <w:pPr>
        <w:pStyle w:val="Compact"/>
        <w:numPr>
          <w:ilvl w:val="0"/>
          <w:numId w:val="1011"/>
        </w:numPr>
      </w:pPr>
      <w:r>
        <w:t xml:space="preserve">KPIs: Optical Comms sales, core op margin, enterprise network </w:t>
      </w:r>
      <w:r>
        <w:rPr>
          <w:rFonts w:hint="eastAsia"/>
        </w:rPr>
        <w:t xml:space="preserve">growth｜光通信销售、核心营业利润率、企业网络增速</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4.5 bn USD</w:t>
            </w:r>
          </w:p>
        </w:tc>
        <w:tc>
          <w:tcPr/>
          <w:p>
            <w:pPr>
              <w:pStyle w:val="Compact"/>
            </w:pPr>
            <w:r>
              <w:t xml:space="preserve">1.6 bn USD</w:t>
            </w:r>
          </w:p>
        </w:tc>
        <w:tc>
          <w:tcPr/>
          <w:p>
            <w:pPr>
              <w:pStyle w:val="Compact"/>
            </w:pPr>
            <w:r>
              <w:t xml:space="preserve">0.7 bn USD</w:t>
            </w:r>
          </w:p>
        </w:tc>
        <w:tc>
          <w:tcPr/>
          <w:p>
            <w:pPr>
              <w:pStyle w:val="Compact"/>
            </w:pPr>
            <w:r>
              <w:t xml:space="preserve">0.6 bn USD</w:t>
            </w:r>
          </w:p>
        </w:tc>
        <w:tc>
          <w:tcPr/>
          <w:p>
            <w:pPr>
              <w:pStyle w:val="Compact"/>
            </w:pPr>
            <w:r>
              <w:t xml:space="preserve">1.3 bn USD</w:t>
            </w:r>
          </w:p>
        </w:tc>
        <w:tc>
          <w:tcPr/>
          <w:p>
            <w:pPr>
              <w:pStyle w:val="Compact"/>
            </w:pPr>
            <w:r>
              <w:t xml:space="preserve">15.5%</w:t>
            </w:r>
          </w:p>
        </w:tc>
      </w:tr>
      <w:tr>
        <w:tc>
          <w:tcPr/>
          <w:p>
            <w:pPr>
              <w:pStyle w:val="Compact"/>
            </w:pPr>
            <w:r>
              <w:t xml:space="preserve">2026-03-31</w:t>
            </w:r>
          </w:p>
        </w:tc>
        <w:tc>
          <w:tcPr/>
          <w:p>
            <w:pPr>
              <w:pStyle w:val="Compact"/>
            </w:pPr>
            <w:r>
              <w:t xml:space="preserve">4.1 bn USD</w:t>
            </w:r>
          </w:p>
        </w:tc>
        <w:tc>
          <w:tcPr/>
          <w:p>
            <w:pPr>
              <w:pStyle w:val="Compact"/>
            </w:pPr>
            <w:r>
              <w:t xml:space="preserve">1.5 bn USD</w:t>
            </w:r>
          </w:p>
        </w:tc>
        <w:tc>
          <w:tcPr/>
          <w:p>
            <w:pPr>
              <w:pStyle w:val="Compact"/>
            </w:pPr>
            <w:r>
              <w:t xml:space="preserve">0.6 bn USD</w:t>
            </w:r>
          </w:p>
        </w:tc>
        <w:tc>
          <w:tcPr/>
          <w:p>
            <w:pPr>
              <w:pStyle w:val="Compact"/>
            </w:pPr>
            <w:r>
              <w:t xml:space="preserve">0.4 bn USD</w:t>
            </w:r>
          </w:p>
        </w:tc>
        <w:tc>
          <w:tcPr/>
          <w:p>
            <w:pPr>
              <w:pStyle w:val="Compact"/>
            </w:pPr>
            <w:r>
              <w:t xml:space="preserve">30.0 mn USD</w:t>
            </w:r>
          </w:p>
        </w:tc>
        <w:tc>
          <w:tcPr/>
          <w:p>
            <w:pPr>
              <w:pStyle w:val="Compact"/>
            </w:pPr>
            <w:r>
              <w:t xml:space="preserve">15.4%</w:t>
            </w:r>
          </w:p>
        </w:tc>
      </w:tr>
      <w:tr>
        <w:tc>
          <w:tcPr/>
          <w:p>
            <w:pPr>
              <w:pStyle w:val="Compact"/>
            </w:pPr>
            <w:r>
              <w:t xml:space="preserve">2025-12-31</w:t>
            </w:r>
          </w:p>
        </w:tc>
        <w:tc>
          <w:tcPr/>
          <w:p>
            <w:pPr>
              <w:pStyle w:val="Compact"/>
            </w:pPr>
            <w:r>
              <w:t xml:space="preserve">4.2 bn USD</w:t>
            </w:r>
          </w:p>
        </w:tc>
        <w:tc>
          <w:tcPr/>
          <w:p>
            <w:pPr>
              <w:pStyle w:val="Compact"/>
            </w:pPr>
            <w:r>
              <w:t xml:space="preserve">1.5 bn USD</w:t>
            </w:r>
          </w:p>
        </w:tc>
        <w:tc>
          <w:tcPr/>
          <w:p>
            <w:pPr>
              <w:pStyle w:val="Compact"/>
            </w:pPr>
            <w:r>
              <w:t xml:space="preserve">0.7 bn USD</w:t>
            </w:r>
          </w:p>
        </w:tc>
        <w:tc>
          <w:tcPr/>
          <w:p>
            <w:pPr>
              <w:pStyle w:val="Compact"/>
            </w:pPr>
            <w:r>
              <w:t xml:space="preserve">0.5 bn USD</w:t>
            </w:r>
          </w:p>
        </w:tc>
        <w:tc>
          <w:tcPr/>
          <w:p>
            <w:pPr>
              <w:pStyle w:val="Compact"/>
            </w:pPr>
            <w:r>
              <w:t xml:space="preserve">0.6 bn USD</w:t>
            </w:r>
          </w:p>
        </w:tc>
        <w:tc>
          <w:tcPr/>
          <w:p>
            <w:pPr>
              <w:pStyle w:val="Compact"/>
            </w:pPr>
            <w:r>
              <w:t xml:space="preserve">15.9%</w:t>
            </w:r>
          </w:p>
        </w:tc>
      </w:tr>
      <w:tr>
        <w:tc>
          <w:tcPr/>
          <w:p>
            <w:pPr>
              <w:pStyle w:val="Compact"/>
            </w:pPr>
            <w:r>
              <w:t xml:space="preserve">2025-09-30</w:t>
            </w:r>
          </w:p>
        </w:tc>
        <w:tc>
          <w:tcPr/>
          <w:p>
            <w:pPr>
              <w:pStyle w:val="Compact"/>
            </w:pPr>
            <w:r>
              <w:t xml:space="preserve">4.1 bn USD</w:t>
            </w:r>
          </w:p>
        </w:tc>
        <w:tc>
          <w:tcPr/>
          <w:p>
            <w:pPr>
              <w:pStyle w:val="Compact"/>
            </w:pPr>
            <w:r>
              <w:t xml:space="preserve">1.5 bn USD</w:t>
            </w:r>
          </w:p>
        </w:tc>
        <w:tc>
          <w:tcPr/>
          <w:p>
            <w:pPr>
              <w:pStyle w:val="Compact"/>
            </w:pPr>
            <w:r>
              <w:t xml:space="preserve">0.6 bn USD</w:t>
            </w:r>
          </w:p>
        </w:tc>
        <w:tc>
          <w:tcPr/>
          <w:p>
            <w:pPr>
              <w:pStyle w:val="Compact"/>
            </w:pPr>
            <w:r>
              <w:t xml:space="preserve">0.4 bn USD</w:t>
            </w:r>
          </w:p>
        </w:tc>
        <w:tc>
          <w:tcPr/>
          <w:p>
            <w:pPr>
              <w:pStyle w:val="Compact"/>
            </w:pPr>
            <w:r>
              <w:t xml:space="preserve">0.5 bn USD</w:t>
            </w:r>
          </w:p>
        </w:tc>
        <w:tc>
          <w:tcPr/>
          <w:p>
            <w:pPr>
              <w:pStyle w:val="Compact"/>
            </w:pPr>
            <w:r>
              <w:t xml:space="preserve">14.4%</w:t>
            </w:r>
          </w:p>
        </w:tc>
      </w:tr>
      <w:tr>
        <w:tc>
          <w:tcPr/>
          <w:p>
            <w:pPr>
              <w:pStyle w:val="Compact"/>
            </w:pPr>
            <w:r>
              <w:t xml:space="preserve">2025-06-30</w:t>
            </w:r>
          </w:p>
        </w:tc>
        <w:tc>
          <w:tcPr/>
          <w:p>
            <w:pPr>
              <w:pStyle w:val="Compact"/>
            </w:pPr>
            <w:r>
              <w:t xml:space="preserve">3.9 bn USD</w:t>
            </w:r>
          </w:p>
        </w:tc>
        <w:tc>
          <w:tcPr/>
          <w:p>
            <w:pPr>
              <w:pStyle w:val="Compact"/>
            </w:pPr>
            <w:r>
              <w:t xml:space="preserve">1.4 bn USD</w:t>
            </w:r>
          </w:p>
        </w:tc>
        <w:tc>
          <w:tcPr/>
          <w:p>
            <w:pPr>
              <w:pStyle w:val="Compact"/>
            </w:pPr>
            <w:r>
              <w:t xml:space="preserve">0.6 bn USD</w:t>
            </w:r>
          </w:p>
        </w:tc>
        <w:tc>
          <w:tcPr/>
          <w:p>
            <w:pPr>
              <w:pStyle w:val="Compact"/>
            </w:pPr>
            <w:r>
              <w:t xml:space="preserve">0.5 bn USD</w:t>
            </w:r>
          </w:p>
        </w:tc>
        <w:tc>
          <w:tcPr/>
          <w:p>
            <w:pPr>
              <w:pStyle w:val="Compact"/>
            </w:pPr>
            <w:r>
              <w:t xml:space="preserve">0.4 bn USD</w:t>
            </w:r>
          </w:p>
        </w:tc>
        <w:tc>
          <w:tcPr/>
          <w:p>
            <w:pPr>
              <w:pStyle w:val="Compact"/>
            </w:pPr>
            <w:r>
              <w:t xml:space="preserve">14.8%</w:t>
            </w:r>
          </w:p>
        </w:tc>
      </w:tr>
    </w:tbl>
    <w:p>
      <w:pPr>
        <w:pStyle w:val="BodyText"/>
      </w:pPr>
      <w:r>
        <w:t xml:space="preserve">Cash 2.5 bn USD; debt 9.4 bn USD; TTM FCF 2.4 bn USD (FCF margin 14.1%).</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0.67</w:t>
            </w:r>
          </w:p>
        </w:tc>
        <w:tc>
          <w:tcPr/>
          <w:p>
            <w:pPr>
              <w:pStyle w:val="Compact"/>
            </w:pPr>
            <w:r>
              <w:t xml:space="preserve">0.66471</w:t>
            </w:r>
          </w:p>
        </w:tc>
        <w:tc>
          <w:tcPr/>
          <w:p>
            <w:pPr>
              <w:pStyle w:val="Compact"/>
            </w:pPr>
            <w:r>
              <w:t xml:space="preserve">0.008</w:t>
            </w:r>
          </w:p>
        </w:tc>
      </w:tr>
      <w:tr>
        <w:tc>
          <w:tcPr/>
          <w:p>
            <w:pPr>
              <w:pStyle w:val="Compact"/>
            </w:pPr>
            <w:r>
              <w:t xml:space="preserve">2025-12-31</w:t>
            </w:r>
          </w:p>
        </w:tc>
        <w:tc>
          <w:tcPr/>
          <w:p>
            <w:pPr>
              <w:pStyle w:val="Compact"/>
            </w:pPr>
            <w:r>
              <w:t xml:space="preserve">0.72</w:t>
            </w:r>
          </w:p>
        </w:tc>
        <w:tc>
          <w:tcPr/>
          <w:p>
            <w:pPr>
              <w:pStyle w:val="Compact"/>
            </w:pPr>
            <w:r>
              <w:t xml:space="preserve">0.70535</w:t>
            </w:r>
          </w:p>
        </w:tc>
        <w:tc>
          <w:tcPr/>
          <w:p>
            <w:pPr>
              <w:pStyle w:val="Compact"/>
            </w:pPr>
            <w:r>
              <w:t xml:space="preserve">0.0208</w:t>
            </w:r>
          </w:p>
        </w:tc>
      </w:tr>
      <w:tr>
        <w:tc>
          <w:tcPr/>
          <w:p>
            <w:pPr>
              <w:pStyle w:val="Compact"/>
            </w:pPr>
            <w:r>
              <w:t xml:space="preserve">2026-03-31</w:t>
            </w:r>
          </w:p>
        </w:tc>
        <w:tc>
          <w:tcPr/>
          <w:p>
            <w:pPr>
              <w:pStyle w:val="Compact"/>
            </w:pPr>
            <w:r>
              <w:t xml:space="preserve">0.7</w:t>
            </w:r>
          </w:p>
        </w:tc>
        <w:tc>
          <w:tcPr/>
          <w:p>
            <w:pPr>
              <w:pStyle w:val="Compact"/>
            </w:pPr>
            <w:r>
              <w:t xml:space="preserve">0.6916</w:t>
            </w:r>
          </w:p>
        </w:tc>
        <w:tc>
          <w:tcPr/>
          <w:p>
            <w:pPr>
              <w:pStyle w:val="Compact"/>
            </w:pPr>
            <w:r>
              <w:t xml:space="preserve">0.0121</w:t>
            </w:r>
          </w:p>
        </w:tc>
      </w:tr>
      <w:tr>
        <w:tc>
          <w:tcPr/>
          <w:p>
            <w:pPr>
              <w:pStyle w:val="Compact"/>
            </w:pPr>
            <w:r>
              <w:t xml:space="preserve">2026-06-30</w:t>
            </w:r>
          </w:p>
        </w:tc>
        <w:tc>
          <w:tcPr/>
          <w:p>
            <w:pPr>
              <w:pStyle w:val="Compact"/>
            </w:pPr>
            <w:r>
              <w:t xml:space="preserve">0.78</w:t>
            </w:r>
          </w:p>
        </w:tc>
        <w:tc>
          <w:tcPr/>
          <w:p>
            <w:pPr>
              <w:pStyle w:val="Compact"/>
            </w:pPr>
            <w:r>
              <w:t xml:space="preserve">0.75378</w:t>
            </w:r>
          </w:p>
        </w:tc>
        <w:tc>
          <w:tcPr/>
          <w:p>
            <w:pPr>
              <w:pStyle w:val="Compact"/>
            </w:pPr>
            <w:r>
              <w:t xml:space="preserve">0.0348</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2026-10-27</w:t>
      </w:r>
      <w:r>
        <w:t xml:space="preserve">; current-quarter EPS consensus 0.87717 (13 analysts); revenue consensus 5.0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$35.80</w:t>
            </w:r>
          </w:p>
        </w:tc>
        <w:tc>
          <w:tcPr/>
          <w:p>
            <w:pPr>
              <w:pStyle w:val="Compact"/>
            </w:pPr>
            <w:r>
              <w:t xml:space="preserve">-74.1%</w:t>
            </w:r>
          </w:p>
        </w:tc>
      </w:tr>
      <w:tr>
        <w:tc>
          <w:tcPr/>
          <w:p>
            <w:pPr>
              <w:pStyle w:val="Compact"/>
            </w:pPr>
            <w:r>
              <w:t xml:space="preserve">2Q</w:t>
            </w:r>
          </w:p>
        </w:tc>
        <w:tc>
          <w:tcPr/>
          <w:p>
            <w:pPr>
              <w:pStyle w:val="Compact"/>
            </w:pPr>
            <w:r>
              <w:t xml:space="preserve">Base</w:t>
            </w:r>
          </w:p>
        </w:tc>
        <w:tc>
          <w:tcPr/>
          <w:p>
            <w:pPr>
              <w:pStyle w:val="Compact"/>
            </w:pPr>
            <w:r>
              <w:t xml:space="preserve">$80.45</w:t>
            </w:r>
          </w:p>
        </w:tc>
        <w:tc>
          <w:tcPr/>
          <w:p>
            <w:pPr>
              <w:pStyle w:val="Compact"/>
            </w:pPr>
            <w:r>
              <w:t xml:space="preserve">-41.9%</w:t>
            </w:r>
          </w:p>
        </w:tc>
      </w:tr>
      <w:tr>
        <w:tc>
          <w:tcPr/>
          <w:p>
            <w:pPr>
              <w:pStyle w:val="Compact"/>
            </w:pPr>
            <w:r>
              <w:t xml:space="preserve">2Q</w:t>
            </w:r>
          </w:p>
        </w:tc>
        <w:tc>
          <w:tcPr/>
          <w:p>
            <w:pPr>
              <w:pStyle w:val="Compact"/>
            </w:pPr>
            <w:r>
              <w:t xml:space="preserve">Bull</w:t>
            </w:r>
          </w:p>
        </w:tc>
        <w:tc>
          <w:tcPr/>
          <w:p>
            <w:pPr>
              <w:pStyle w:val="Compact"/>
            </w:pPr>
            <w:r>
              <w:t xml:space="preserve">$131.39</w:t>
            </w:r>
          </w:p>
        </w:tc>
        <w:tc>
          <w:tcPr/>
          <w:p>
            <w:pPr>
              <w:pStyle w:val="Compact"/>
            </w:pPr>
            <w:r>
              <w:t xml:space="preserve">-5.1%</w:t>
            </w:r>
          </w:p>
        </w:tc>
      </w:tr>
      <w:tr>
        <w:tc>
          <w:tcPr/>
          <w:p>
            <w:pPr>
              <w:pStyle w:val="Compact"/>
            </w:pPr>
            <w:r>
              <w:t xml:space="preserve">4Q</w:t>
            </w:r>
          </w:p>
        </w:tc>
        <w:tc>
          <w:tcPr/>
          <w:p>
            <w:pPr>
              <w:pStyle w:val="Compact"/>
            </w:pPr>
            <w:r>
              <w:t xml:space="preserve">Bear</w:t>
            </w:r>
          </w:p>
        </w:tc>
        <w:tc>
          <w:tcPr/>
          <w:p>
            <w:pPr>
              <w:pStyle w:val="Compact"/>
            </w:pPr>
            <w:r>
              <w:t xml:space="preserve">$35.15</w:t>
            </w:r>
          </w:p>
        </w:tc>
        <w:tc>
          <w:tcPr/>
          <w:p>
            <w:pPr>
              <w:pStyle w:val="Compact"/>
            </w:pPr>
            <w:r>
              <w:t xml:space="preserve">-74.6%</w:t>
            </w:r>
          </w:p>
        </w:tc>
      </w:tr>
      <w:tr>
        <w:tc>
          <w:tcPr/>
          <w:p>
            <w:pPr>
              <w:pStyle w:val="Compact"/>
            </w:pPr>
            <w:r>
              <w:t xml:space="preserve">4Q</w:t>
            </w:r>
          </w:p>
        </w:tc>
        <w:tc>
          <w:tcPr/>
          <w:p>
            <w:pPr>
              <w:pStyle w:val="Compact"/>
            </w:pPr>
            <w:r>
              <w:t xml:space="preserve">Base</w:t>
            </w:r>
          </w:p>
        </w:tc>
        <w:tc>
          <w:tcPr/>
          <w:p>
            <w:pPr>
              <w:pStyle w:val="Compact"/>
            </w:pPr>
            <w:r>
              <w:t xml:space="preserve">$84.83</w:t>
            </w:r>
          </w:p>
        </w:tc>
        <w:tc>
          <w:tcPr/>
          <w:p>
            <w:pPr>
              <w:pStyle w:val="Compact"/>
            </w:pPr>
            <w:r>
              <w:t xml:space="preserve">-38.7%</w:t>
            </w:r>
          </w:p>
        </w:tc>
      </w:tr>
      <w:tr>
        <w:tc>
          <w:tcPr/>
          <w:p>
            <w:pPr>
              <w:pStyle w:val="Compact"/>
            </w:pPr>
            <w:r>
              <w:t xml:space="preserve">4Q</w:t>
            </w:r>
          </w:p>
        </w:tc>
        <w:tc>
          <w:tcPr/>
          <w:p>
            <w:pPr>
              <w:pStyle w:val="Compact"/>
            </w:pPr>
            <w:r>
              <w:t xml:space="preserve">Bull</w:t>
            </w:r>
          </w:p>
        </w:tc>
        <w:tc>
          <w:tcPr/>
          <w:p>
            <w:pPr>
              <w:pStyle w:val="Compact"/>
            </w:pPr>
            <w:r>
              <w:t xml:space="preserve">$144.12</w:t>
            </w:r>
          </w:p>
        </w:tc>
        <w:tc>
          <w:tcPr/>
          <w:p>
            <w:pPr>
              <w:pStyle w:val="Compact"/>
            </w:pPr>
            <w:r>
              <w:t xml:space="preserve">4.1%</w:t>
            </w:r>
          </w:p>
        </w:tc>
      </w:tr>
      <w:tr>
        <w:tc>
          <w:tcPr/>
          <w:p>
            <w:pPr>
              <w:pStyle w:val="Compact"/>
            </w:pPr>
            <w:r>
              <w:t xml:space="preserve">6Q</w:t>
            </w:r>
          </w:p>
        </w:tc>
        <w:tc>
          <w:tcPr/>
          <w:p>
            <w:pPr>
              <w:pStyle w:val="Compact"/>
            </w:pPr>
            <w:r>
              <w:t xml:space="preserve">Bear</w:t>
            </w:r>
          </w:p>
        </w:tc>
        <w:tc>
          <w:tcPr/>
          <w:p>
            <w:pPr>
              <w:pStyle w:val="Compact"/>
            </w:pPr>
            <w:r>
              <w:t xml:space="preserve">$34.49</w:t>
            </w:r>
          </w:p>
        </w:tc>
        <w:tc>
          <w:tcPr/>
          <w:p>
            <w:pPr>
              <w:pStyle w:val="Compact"/>
            </w:pPr>
            <w:r>
              <w:t xml:space="preserve">-75.1%</w:t>
            </w:r>
          </w:p>
        </w:tc>
      </w:tr>
      <w:tr>
        <w:tc>
          <w:tcPr/>
          <w:p>
            <w:pPr>
              <w:pStyle w:val="Compact"/>
            </w:pPr>
            <w:r>
              <w:t xml:space="preserve">6Q</w:t>
            </w:r>
          </w:p>
        </w:tc>
        <w:tc>
          <w:tcPr/>
          <w:p>
            <w:pPr>
              <w:pStyle w:val="Compact"/>
            </w:pPr>
            <w:r>
              <w:t xml:space="preserve">Base</w:t>
            </w:r>
          </w:p>
        </w:tc>
        <w:tc>
          <w:tcPr/>
          <w:p>
            <w:pPr>
              <w:pStyle w:val="Compact"/>
            </w:pPr>
            <w:r>
              <w:t xml:space="preserve">$89.37</w:t>
            </w:r>
          </w:p>
        </w:tc>
        <w:tc>
          <w:tcPr/>
          <w:p>
            <w:pPr>
              <w:pStyle w:val="Compact"/>
            </w:pPr>
            <w:r>
              <w:t xml:space="preserve">-35.4%</w:t>
            </w:r>
          </w:p>
        </w:tc>
      </w:tr>
      <w:tr>
        <w:tc>
          <w:tcPr/>
          <w:p>
            <w:pPr>
              <w:pStyle w:val="Compact"/>
            </w:pPr>
            <w:r>
              <w:t xml:space="preserve">6Q</w:t>
            </w:r>
          </w:p>
        </w:tc>
        <w:tc>
          <w:tcPr/>
          <w:p>
            <w:pPr>
              <w:pStyle w:val="Compact"/>
            </w:pPr>
            <w:r>
              <w:t xml:space="preserve">Bull</w:t>
            </w:r>
          </w:p>
        </w:tc>
        <w:tc>
          <w:tcPr/>
          <w:p>
            <w:pPr>
              <w:pStyle w:val="Compact"/>
            </w:pPr>
            <w:r>
              <w:t xml:space="preserve">$157.87</w:t>
            </w:r>
          </w:p>
        </w:tc>
        <w:tc>
          <w:tcPr/>
          <w:p>
            <w:pPr>
              <w:pStyle w:val="Compact"/>
            </w:pPr>
            <w:r>
              <w:t xml:space="preserve">14.0%</w:t>
            </w:r>
          </w:p>
        </w:tc>
      </w:tr>
      <w:tr>
        <w:tc>
          <w:tcPr/>
          <w:p>
            <w:pPr>
              <w:pStyle w:val="Compact"/>
            </w:pPr>
            <w:r>
              <w:t xml:space="preserve">8Q</w:t>
            </w:r>
          </w:p>
        </w:tc>
        <w:tc>
          <w:tcPr/>
          <w:p>
            <w:pPr>
              <w:pStyle w:val="Compact"/>
            </w:pPr>
            <w:r>
              <w:t xml:space="preserve">Bear</w:t>
            </w:r>
          </w:p>
        </w:tc>
        <w:tc>
          <w:tcPr/>
          <w:p>
            <w:pPr>
              <w:pStyle w:val="Compact"/>
            </w:pPr>
            <w:r>
              <w:t xml:space="preserve">$33.83</w:t>
            </w:r>
          </w:p>
        </w:tc>
        <w:tc>
          <w:tcPr/>
          <w:p>
            <w:pPr>
              <w:pStyle w:val="Compact"/>
            </w:pPr>
            <w:r>
              <w:t xml:space="preserve">-75.6%</w:t>
            </w:r>
          </w:p>
        </w:tc>
      </w:tr>
      <w:tr>
        <w:tc>
          <w:tcPr/>
          <w:p>
            <w:pPr>
              <w:pStyle w:val="Compact"/>
            </w:pPr>
            <w:r>
              <w:t xml:space="preserve">8Q</w:t>
            </w:r>
          </w:p>
        </w:tc>
        <w:tc>
          <w:tcPr/>
          <w:p>
            <w:pPr>
              <w:pStyle w:val="Compact"/>
            </w:pPr>
            <w:r>
              <w:t xml:space="preserve">Base</w:t>
            </w:r>
          </w:p>
        </w:tc>
        <w:tc>
          <w:tcPr/>
          <w:p>
            <w:pPr>
              <w:pStyle w:val="Compact"/>
            </w:pPr>
            <w:r>
              <w:t xml:space="preserve">$94.09</w:t>
            </w:r>
          </w:p>
        </w:tc>
        <w:tc>
          <w:tcPr/>
          <w:p>
            <w:pPr>
              <w:pStyle w:val="Compact"/>
            </w:pPr>
            <w:r>
              <w:t xml:space="preserve">-32.0%</w:t>
            </w:r>
          </w:p>
        </w:tc>
      </w:tr>
      <w:tr>
        <w:tc>
          <w:tcPr/>
          <w:p>
            <w:pPr>
              <w:pStyle w:val="Compact"/>
            </w:pPr>
            <w:r>
              <w:t xml:space="preserve">8Q</w:t>
            </w:r>
          </w:p>
        </w:tc>
        <w:tc>
          <w:tcPr/>
          <w:p>
            <w:pPr>
              <w:pStyle w:val="Compact"/>
            </w:pPr>
            <w:r>
              <w:t xml:space="preserve">Bull</w:t>
            </w:r>
          </w:p>
        </w:tc>
        <w:tc>
          <w:tcPr/>
          <w:p>
            <w:pPr>
              <w:pStyle w:val="Compact"/>
            </w:pPr>
            <w:r>
              <w:t xml:space="preserve">$172.71</w:t>
            </w:r>
          </w:p>
        </w:tc>
        <w:tc>
          <w:tcPr/>
          <w:p>
            <w:pPr>
              <w:pStyle w:val="Compact"/>
            </w:pPr>
            <w:r>
              <w:t xml:space="preserve">24.8%</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39.5x</w:t>
            </w:r>
          </w:p>
        </w:tc>
      </w:tr>
      <w:tr>
        <w:tc>
          <w:tcPr/>
          <w:p>
            <w:pPr>
              <w:pStyle w:val="Compact"/>
            </w:pPr>
            <w:r>
              <w:t xml:space="preserve">4Q</w:t>
            </w:r>
          </w:p>
        </w:tc>
        <w:tc>
          <w:tcPr/>
          <w:p>
            <w:pPr>
              <w:pStyle w:val="Compact"/>
            </w:pPr>
            <w:r>
              <w:t xml:space="preserve">35.9x</w:t>
            </w:r>
          </w:p>
        </w:tc>
      </w:tr>
      <w:tr>
        <w:tc>
          <w:tcPr/>
          <w:p>
            <w:pPr>
              <w:pStyle w:val="Compact"/>
            </w:pPr>
            <w:r>
              <w:t xml:space="preserve">6Q</w:t>
            </w:r>
          </w:p>
        </w:tc>
        <w:tc>
          <w:tcPr/>
          <w:p>
            <w:pPr>
              <w:pStyle w:val="Compact"/>
            </w:pPr>
            <w:r>
              <w:t xml:space="preserve">32.6x</w:t>
            </w:r>
          </w:p>
        </w:tc>
      </w:tr>
      <w:tr>
        <w:tc>
          <w:tcPr/>
          <w:p>
            <w:pPr>
              <w:pStyle w:val="Compact"/>
            </w:pPr>
            <w:r>
              <w:t xml:space="preserve">8Q</w:t>
            </w:r>
          </w:p>
        </w:tc>
        <w:tc>
          <w:tcPr/>
          <w:p>
            <w:pPr>
              <w:pStyle w:val="Compact"/>
            </w:pPr>
            <w:r>
              <w:t xml:space="preserve">29.6x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9.8%</w:t>
            </w:r>
          </w:p>
        </w:tc>
        <w:tc>
          <w:tcPr/>
          <w:p>
            <w:pPr>
              <w:pStyle w:val="Compact"/>
            </w:pPr>
            <w:r>
              <w:t xml:space="preserve">12.0%</w:t>
            </w:r>
          </w:p>
        </w:tc>
        <w:tc>
          <w:tcPr/>
          <w:p>
            <w:pPr>
              <w:pStyle w:val="Compact"/>
            </w:pPr>
            <w:r>
              <w:t xml:space="preserve">11.8%</w:t>
            </w:r>
          </w:p>
        </w:tc>
        <w:tc>
          <w:tcPr/>
          <w:p>
            <w:pPr>
              <w:pStyle w:val="Compact"/>
            </w:pPr>
            <w:r>
              <w:t xml:space="preserve">2.5%</w:t>
            </w:r>
          </w:p>
        </w:tc>
        <w:tc>
          <w:tcPr/>
          <w:p>
            <w:pPr>
              <w:pStyle w:val="Compact"/>
            </w:pPr>
            <w:r>
              <w:t xml:space="preserve">25.0%</w:t>
            </w:r>
          </w:p>
        </w:tc>
        <w:tc>
          <w:tcPr/>
          <w:p>
            <w:pPr>
              <w:pStyle w:val="Compact"/>
            </w:pPr>
            <w:r>
              <w:t xml:space="preserve">$27.44</w:t>
            </w:r>
          </w:p>
        </w:tc>
        <w:tc>
          <w:tcPr/>
          <w:p>
            <w:pPr>
              <w:pStyle w:val="Compact"/>
            </w:pPr>
            <w:r>
              <w:t xml:space="preserve">-80.2%</w:t>
            </w:r>
          </w:p>
        </w:tc>
      </w:tr>
      <w:tr>
        <w:tc>
          <w:tcPr/>
          <w:p>
            <w:pPr>
              <w:pStyle w:val="Compact"/>
            </w:pPr>
            <w:r>
              <w:t xml:space="preserve">Base</w:t>
            </w:r>
          </w:p>
        </w:tc>
        <w:tc>
          <w:tcPr/>
          <w:p>
            <w:pPr>
              <w:pStyle w:val="Compact"/>
            </w:pPr>
            <w:r>
              <w:t xml:space="preserve">19.6%</w:t>
            </w:r>
          </w:p>
        </w:tc>
        <w:tc>
          <w:tcPr/>
          <w:p>
            <w:pPr>
              <w:pStyle w:val="Compact"/>
            </w:pPr>
            <w:r>
              <w:t xml:space="preserve">15.0%</w:t>
            </w:r>
          </w:p>
        </w:tc>
        <w:tc>
          <w:tcPr/>
          <w:p>
            <w:pPr>
              <w:pStyle w:val="Compact"/>
            </w:pPr>
            <w:r>
              <w:t xml:space="preserve">10.8%</w:t>
            </w:r>
          </w:p>
        </w:tc>
        <w:tc>
          <w:tcPr/>
          <w:p>
            <w:pPr>
              <w:pStyle w:val="Compact"/>
            </w:pPr>
            <w:r>
              <w:t xml:space="preserve">3.0%</w:t>
            </w:r>
          </w:p>
        </w:tc>
        <w:tc>
          <w:tcPr/>
          <w:p>
            <w:pPr>
              <w:pStyle w:val="Compact"/>
            </w:pPr>
            <w:r>
              <w:t xml:space="preserve">50.0%</w:t>
            </w:r>
          </w:p>
        </w:tc>
        <w:tc>
          <w:tcPr/>
          <w:p>
            <w:pPr>
              <w:pStyle w:val="Compact"/>
            </w:pPr>
            <w:r>
              <w:t xml:space="preserve">$66.60</w:t>
            </w:r>
          </w:p>
        </w:tc>
        <w:tc>
          <w:tcPr/>
          <w:p>
            <w:pPr>
              <w:pStyle w:val="Compact"/>
            </w:pPr>
            <w:r>
              <w:t xml:space="preserve">-51.9%</w:t>
            </w:r>
          </w:p>
        </w:tc>
      </w:tr>
      <w:tr>
        <w:tc>
          <w:tcPr/>
          <w:p>
            <w:pPr>
              <w:pStyle w:val="Compact"/>
            </w:pPr>
            <w:r>
              <w:t xml:space="preserve">Bull</w:t>
            </w:r>
          </w:p>
        </w:tc>
        <w:tc>
          <w:tcPr/>
          <w:p>
            <w:pPr>
              <w:pStyle w:val="Compact"/>
            </w:pPr>
            <w:r>
              <w:t xml:space="preserve">25.5%</w:t>
            </w:r>
          </w:p>
        </w:tc>
        <w:tc>
          <w:tcPr/>
          <w:p>
            <w:pPr>
              <w:pStyle w:val="Compact"/>
            </w:pPr>
            <w:r>
              <w:t xml:space="preserve">17.2%</w:t>
            </w:r>
          </w:p>
        </w:tc>
        <w:tc>
          <w:tcPr/>
          <w:p>
            <w:pPr>
              <w:pStyle w:val="Compact"/>
            </w:pPr>
            <w:r>
              <w:t xml:space="preserve">10.3%</w:t>
            </w:r>
          </w:p>
        </w:tc>
        <w:tc>
          <w:tcPr/>
          <w:p>
            <w:pPr>
              <w:pStyle w:val="Compact"/>
            </w:pPr>
            <w:r>
              <w:t xml:space="preserve">3.5%</w:t>
            </w:r>
          </w:p>
        </w:tc>
        <w:tc>
          <w:tcPr/>
          <w:p>
            <w:pPr>
              <w:pStyle w:val="Compact"/>
            </w:pPr>
            <w:r>
              <w:t xml:space="preserve">25.0%</w:t>
            </w:r>
          </w:p>
        </w:tc>
        <w:tc>
          <w:tcPr/>
          <w:p>
            <w:pPr>
              <w:pStyle w:val="Compact"/>
            </w:pPr>
            <w:r>
              <w:t xml:space="preserve">$113.78</w:t>
            </w:r>
          </w:p>
        </w:tc>
        <w:tc>
          <w:tcPr/>
          <w:p>
            <w:pPr>
              <w:pStyle w:val="Compact"/>
            </w:pPr>
            <w:r>
              <w:t xml:space="preserve">-17.8%</w:t>
            </w:r>
          </w:p>
        </w:tc>
      </w:tr>
    </w:tbl>
    <w:p>
      <w:pPr>
        <w:pStyle w:val="BodyText"/>
      </w:pPr>
      <w:r>
        <w:t xml:space="preserve">Probability-weighted value</w:t>
      </w:r>
      <w:r>
        <w:t xml:space="preserve"> </w:t>
      </w:r>
      <w:r>
        <w:rPr>
          <w:b/>
          <w:bCs/>
        </w:rPr>
        <w:t xml:space="preserve">$68.61</w:t>
      </w:r>
      <w:r>
        <w:t xml:space="preserve"> </w:t>
      </w:r>
      <w:r>
        <w:t xml:space="preserve">(-50.4%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64.2 bn USD; terminal share 54.1%.</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37.9%</w:t>
      </w:r>
      <w:r>
        <w:t xml:space="preserve"> </w:t>
      </w:r>
      <w:r>
        <w:t xml:space="preserve">vs consensus FY+1 19.6%.</w:t>
      </w:r>
    </w:p>
    <w:p>
      <w:pPr>
        <w:pStyle w:val="Compact"/>
        <w:numPr>
          <w:ilvl w:val="0"/>
          <w:numId w:val="1013"/>
        </w:numPr>
      </w:pPr>
      <w:r>
        <w:t xml:space="preserve">WACC (CAPM) = rf 5.2% + β 1.12 × ERP 5.0% = 10.8%.</w:t>
      </w:r>
    </w:p>
    <w:p>
      <w:pPr>
        <w:pStyle w:val="Compact"/>
        <w:numPr>
          <w:ilvl w:val="0"/>
          <w:numId w:val="1013"/>
        </w:numPr>
      </w:pPr>
      <w:r>
        <w:t xml:space="preserve">SOTP segments: Optical Communications </w:t>
      </w:r>
      <w:r>
        <w:rPr>
          <w:rFonts w:hint="eastAsia"/>
        </w:rPr>
        <w:t xml:space="preserve">光通信;</w:t>
      </w:r>
      <w:r>
        <w:t xml:space="preserve"> Display </w:t>
      </w:r>
      <w:r>
        <w:rPr>
          <w:rFonts w:hint="eastAsia"/>
        </w:rPr>
        <w:t xml:space="preserve">显示;</w:t>
      </w:r>
      <w:r>
        <w:t xml:space="preserve"> Specialty Materials </w:t>
      </w:r>
      <w:r>
        <w:rPr>
          <w:rFonts w:hint="eastAsia"/>
        </w:rPr>
        <w:t xml:space="preserve">特种材料(Gorilla);</w:t>
      </w:r>
      <w:r>
        <w:t xml:space="preserve"> Environmental/Life Sci/Solar </w:t>
      </w:r>
      <w:r>
        <w:rPr>
          <w:rFonts w:hint="eastAsia"/>
        </w:rPr>
        <w:t xml:space="preserve">其他</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Display weakness, fiber pricing from Chinese competition, capex </w:t>
      </w:r>
      <w:r>
        <w:rPr>
          <w:rFonts w:hint="eastAsia"/>
        </w:rPr>
        <w:t xml:space="preserve">digestion｜显示疲弱、中国光纤价格竞争、Capex消化</w:t>
      </w:r>
      <w:r>
        <w:t xml:space="preserve"> | Falsifiers: Optical Comms growth decelerates below enterprise market; Springboard margin targets </w:t>
      </w:r>
      <w:r>
        <w:rPr>
          <w:rFonts w:hint="eastAsia"/>
        </w:rPr>
        <w:t xml:space="preserve">missed｜光通信增速回落；Springboard利润率目标落空</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GLW_model_v20261016-0756.xlsx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data/snapshots/20261016-0756</w:t>
      </w:r>
      <w:r>
        <w:t xml:space="preserve"> </w:t>
      </w:r>
      <w:r>
        <w:t xml:space="preserve">(immutable) | Fetched 2026-10-16 07:56 SGT | Generated 2026-10-16 07:57 SGT</w:t>
      </w:r>
      <w:r>
        <w:t xml:space="preserve"> </w:t>
      </w:r>
      <w:r>
        <w:t xml:space="preserve">- Version: v20261016-0756.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2026-10-15T23:58:03Z</dcterms:created>
  <dcterms:modified xsi:type="dcterms:W3CDTF">2026-10-15T23:58:03Z</dcterms:modified>
</cp:coreProperties>
</file>

<file path=docProps/custom.xml><?xml version="1.0" encoding="utf-8"?>
<Properties xmlns="http://schemas.openxmlformats.org/officeDocument/2006/custom-properties" xmlns:vt="http://schemas.openxmlformats.org/officeDocument/2006/docPropsVTypes"/>
</file>