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2f01e13084b33789c69ba19c614ca5938e4cf84"/>
    <w:p>
      <w:pPr>
        <w:pStyle w:val="Heading1"/>
      </w:pPr>
      <w:r>
        <w:t xml:space="preserve">INTC Intel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v20261016-0756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2026-10-16 07:56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$95.37｜市值</w:t>
      </w:r>
      <w:r>
        <w:t xml:space="preserve"> 504.1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英特尔是政府+NVDA+软银入股支撑的转型故事；价值取决于代工能否获得外部大客户与CPU份额止血，属于高不确定性的期权型标的。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14A external anchor customer; server CPU demand from agentic AI; margin </w:t>
      </w:r>
      <w:r>
        <w:rPr>
          <w:rFonts w:hint="eastAsia"/>
        </w:rPr>
        <w:t xml:space="preserve">recovery｜14A外部大客户；Agent</w:t>
      </w:r>
      <w:r>
        <w:t xml:space="preserve"> </w:t>
      </w:r>
      <w:r>
        <w:rPr>
          <w:rFonts w:hint="eastAsia"/>
        </w:rPr>
        <w:t xml:space="preserve">AI拉动服务器CPU；毛利修复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x86 CPU + foundry turnaround </w:t>
      </w:r>
      <w:r>
        <w:rPr>
          <w:rFonts w:hint="eastAsia"/>
        </w:rPr>
        <w:t xml:space="preserve">x86+代工转型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Client computing </w:t>
      </w:r>
      <w:r>
        <w:rPr>
          <w:rFonts w:hint="eastAsia"/>
        </w:rPr>
        <w:t xml:space="preserve">客户端；Data</w:t>
      </w:r>
      <w:r>
        <w:t xml:space="preserve"> center &amp; AI </w:t>
      </w:r>
      <w:r>
        <w:rPr>
          <w:rFonts w:hint="eastAsia"/>
        </w:rPr>
        <w:t xml:space="preserve">数据中心；Intel</w:t>
      </w:r>
      <w:r>
        <w:t xml:space="preserve"> Foundry </w:t>
      </w:r>
      <w:r>
        <w:rPr>
          <w:rFonts w:hint="eastAsia"/>
        </w:rPr>
        <w:t xml:space="preserve">代工；Altera/Mobileye/other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Intel Corporation designs, develops, manufactures, markets, sells, and services computing and related end products and services in the United States, Ireland, Israel, and internationally. It operates through three segments: CCG, DCAI, and Intel Foundry. The company offers client computing group products, including client and commercial CPUs, discrete client GPUs, edge computing, and connectivity products; data center and AI products, such as server CPUs, discrete GPUs, and networking products; and semiconductors comprising wafer fabrication, substrates, and other related products and services. It also provides driving assistance and self-driving solutions; and develops and manufactures multi-beam mask writing tools. The company sells its products through sales organizations, distributors, resellers, retailers, and OEM partners. It serves original equipment manufacturers, original design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PC OEMs, cloud/enterprise servers, US government (CHIPS), foundry prospects (NVDA investment, </w:t>
      </w:r>
      <w:r>
        <w:rPr>
          <w:rFonts w:hint="eastAsia"/>
        </w:rPr>
        <w:t xml:space="preserve">others)｜PC厂、服务器、美国政府、潜在代工客户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ASML (High-NA EUV), equipment, TSMC (outsourced </w:t>
      </w:r>
      <w:r>
        <w:rPr>
          <w:rFonts w:hint="eastAsia"/>
        </w:rPr>
        <w:t xml:space="preserve">tiles)｜ASML、设备商、台积电(外包)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AMD, ARM-based CPUs, TSMC/Samsung in </w:t>
      </w:r>
      <w:r>
        <w:rPr>
          <w:rFonts w:hint="eastAsia"/>
        </w:rPr>
        <w:t xml:space="preserve">foundry｜AMD、ARM</w:t>
      </w:r>
      <w:r>
        <w:t xml:space="preserve"> </w:t>
      </w:r>
      <w:r>
        <w:rPr>
          <w:rFonts w:hint="eastAsia"/>
        </w:rPr>
        <w:t xml:space="preserve">CPU、台积电/三星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18A/14A yield &amp; external customers, capex funding, </w:t>
      </w:r>
      <w:r>
        <w:rPr>
          <w:rFonts w:hint="eastAsia"/>
        </w:rPr>
        <w:t xml:space="preserve">execution｜18A/14A良率与外部客户、资本开支资金、执行力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GM%, foundry op loss, 18A yield commentary, DCAI revenue, </w:t>
      </w:r>
      <w:r>
        <w:rPr>
          <w:rFonts w:hint="eastAsia"/>
        </w:rPr>
        <w:t xml:space="preserve">capex｜毛利率、代工亏损、18A良率、DCAI收入、Capex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6.5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-11.0 bn USD</w:t>
            </w:r>
          </w:p>
        </w:tc>
        <w:tc>
          <w:tcPr/>
          <w:p>
            <w:pPr>
              <w:pStyle w:val="Compact"/>
            </w:pPr>
            <w:r>
              <w:t xml:space="preserve">4.5 bn USD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13.6 bn USD</w:t>
            </w:r>
          </w:p>
        </w:tc>
        <w:tc>
          <w:tcPr/>
          <w:p>
            <w:pPr>
              <w:pStyle w:val="Compact"/>
            </w:pPr>
            <w:r>
              <w:t xml:space="preserve">5.3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-3.7 bn USD</w:t>
            </w:r>
          </w:p>
        </w:tc>
        <w:tc>
          <w:tcPr/>
          <w:p>
            <w:pPr>
              <w:pStyle w:val="Compact"/>
            </w:pPr>
            <w:r>
              <w:t xml:space="preserve">-2.5 bn USD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4.9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-0.6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5.2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12.9 bn USD</w:t>
            </w:r>
          </w:p>
        </w:tc>
        <w:tc>
          <w:tcPr/>
          <w:p>
            <w:pPr>
              <w:pStyle w:val="Compact"/>
            </w:pPr>
            <w:r>
              <w:t xml:space="preserve">3.5 bn USD</w:t>
            </w:r>
          </w:p>
        </w:tc>
        <w:tc>
          <w:tcPr/>
          <w:p>
            <w:pPr>
              <w:pStyle w:val="Compact"/>
            </w:pPr>
            <w:r>
              <w:t xml:space="preserve">-1.3 bn USD</w:t>
            </w:r>
          </w:p>
        </w:tc>
        <w:tc>
          <w:tcPr/>
          <w:p>
            <w:pPr>
              <w:pStyle w:val="Compact"/>
            </w:pPr>
            <w:r>
              <w:t xml:space="preserve">-2.9 bn USD</w:t>
            </w:r>
          </w:p>
        </w:tc>
        <w:tc>
          <w:tcPr/>
          <w:p>
            <w:pPr>
              <w:pStyle w:val="Compact"/>
            </w:pPr>
            <w:r>
              <w:t xml:space="preserve">-1.5 bn USD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29.7 bn </w:t>
      </w:r>
      <w:r>
        <w:rPr>
          <w:rFonts w:hint="eastAsia"/>
        </w:rPr>
        <w:t xml:space="preserve">USD；总负债</w:t>
      </w:r>
      <w:r>
        <w:t xml:space="preserve"> 50.5 bn </w:t>
      </w:r>
      <w:r>
        <w:rPr>
          <w:rFonts w:hint="eastAsia"/>
        </w:rPr>
        <w:t xml:space="preserve">USD；净现金</w:t>
      </w:r>
      <w:r>
        <w:t xml:space="preserve"> -20.8 bn USD。TTM FCF 2.8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5.0%）。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0.00705</w:t>
            </w:r>
          </w:p>
        </w:tc>
        <w:tc>
          <w:tcPr/>
          <w:p>
            <w:pPr>
              <w:pStyle w:val="Compact"/>
            </w:pPr>
            <w:r>
              <w:t xml:space="preserve">31.6241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0.08264</w:t>
            </w:r>
          </w:p>
        </w:tc>
        <w:tc>
          <w:tcPr/>
          <w:p>
            <w:pPr>
              <w:pStyle w:val="Compact"/>
            </w:pPr>
            <w:r>
              <w:t xml:space="preserve">0.8151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0.01313</w:t>
            </w:r>
          </w:p>
        </w:tc>
        <w:tc>
          <w:tcPr/>
          <w:p>
            <w:pPr>
              <w:pStyle w:val="Compact"/>
            </w:pPr>
            <w:r>
              <w:t xml:space="preserve">21.0868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0.21584</w:t>
            </w:r>
          </w:p>
        </w:tc>
        <w:tc>
          <w:tcPr/>
          <w:p>
            <w:pPr>
              <w:pStyle w:val="Compact"/>
            </w:pPr>
            <w:r>
              <w:t xml:space="preserve">0.94589996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2026-10-30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0.39265（35位分析师）；收入一致预期</w:t>
      </w:r>
      <w:r>
        <w:t xml:space="preserve"> 16.5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$6.22</w:t>
            </w:r>
          </w:p>
        </w:tc>
        <w:tc>
          <w:tcPr/>
          <w:p>
            <w:pPr>
              <w:pStyle w:val="Compact"/>
            </w:pPr>
            <w:r>
              <w:t xml:space="preserve">-93.5%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$16.48</w:t>
            </w:r>
          </w:p>
        </w:tc>
        <w:tc>
          <w:tcPr/>
          <w:p>
            <w:pPr>
              <w:pStyle w:val="Compact"/>
            </w:pPr>
            <w:r>
              <w:t xml:space="preserve">-82.7%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$28.34</w:t>
            </w:r>
          </w:p>
        </w:tc>
        <w:tc>
          <w:tcPr/>
          <w:p>
            <w:pPr>
              <w:pStyle w:val="Compact"/>
            </w:pPr>
            <w:r>
              <w:t xml:space="preserve">-70.3%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$6.65</w:t>
            </w:r>
          </w:p>
        </w:tc>
        <w:tc>
          <w:tcPr/>
          <w:p>
            <w:pPr>
              <w:pStyle w:val="Compact"/>
            </w:pPr>
            <w:r>
              <w:t xml:space="preserve">-93.0%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$18.42</w:t>
            </w:r>
          </w:p>
        </w:tc>
        <w:tc>
          <w:tcPr/>
          <w:p>
            <w:pPr>
              <w:pStyle w:val="Compact"/>
            </w:pPr>
            <w:r>
              <w:t xml:space="preserve">-80.7%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$32.58</w:t>
            </w:r>
          </w:p>
        </w:tc>
        <w:tc>
          <w:tcPr/>
          <w:p>
            <w:pPr>
              <w:pStyle w:val="Compact"/>
            </w:pPr>
            <w:r>
              <w:t xml:space="preserve">-65.8%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$7.05</w:t>
            </w:r>
          </w:p>
        </w:tc>
        <w:tc>
          <w:tcPr/>
          <w:p>
            <w:pPr>
              <w:pStyle w:val="Compact"/>
            </w:pPr>
            <w:r>
              <w:t xml:space="preserve">-92.6%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$20.37</w:t>
            </w:r>
          </w:p>
        </w:tc>
        <w:tc>
          <w:tcPr/>
          <w:p>
            <w:pPr>
              <w:pStyle w:val="Compact"/>
            </w:pPr>
            <w:r>
              <w:t xml:space="preserve">-78.6%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$37.01</w:t>
            </w:r>
          </w:p>
        </w:tc>
        <w:tc>
          <w:tcPr/>
          <w:p>
            <w:pPr>
              <w:pStyle w:val="Compact"/>
            </w:pPr>
            <w:r>
              <w:t xml:space="preserve">-61.2%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$7.41</w:t>
            </w:r>
          </w:p>
        </w:tc>
        <w:tc>
          <w:tcPr/>
          <w:p>
            <w:pPr>
              <w:pStyle w:val="Compact"/>
            </w:pPr>
            <w:r>
              <w:t xml:space="preserve">-92.2%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$22.34</w:t>
            </w:r>
          </w:p>
        </w:tc>
        <w:tc>
          <w:tcPr/>
          <w:p>
            <w:pPr>
              <w:pStyle w:val="Compact"/>
            </w:pPr>
            <w:r>
              <w:t xml:space="preserve">-76.6%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$41.64</w:t>
            </w:r>
          </w:p>
        </w:tc>
        <w:tc>
          <w:tcPr/>
          <w:p>
            <w:pPr>
              <w:pStyle w:val="Compact"/>
            </w:pPr>
            <w:r>
              <w:t xml:space="preserve">-56.3%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115.6x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100.2x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87.2x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76.3x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$4.57</w:t>
            </w:r>
          </w:p>
        </w:tc>
        <w:tc>
          <w:tcPr/>
          <w:p>
            <w:pPr>
              <w:pStyle w:val="Compact"/>
            </w:pPr>
            <w:r>
              <w:t xml:space="preserve">-95.2%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$12.00</w:t>
            </w:r>
          </w:p>
        </w:tc>
        <w:tc>
          <w:tcPr/>
          <w:p>
            <w:pPr>
              <w:pStyle w:val="Compact"/>
            </w:pPr>
            <w:r>
              <w:t xml:space="preserve">-87.4%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19.2%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$19.97</w:t>
            </w:r>
          </w:p>
        </w:tc>
        <w:tc>
          <w:tcPr/>
          <w:p>
            <w:pPr>
              <w:pStyle w:val="Compact"/>
            </w:pPr>
            <w:r>
              <w:t xml:space="preserve">-79.1%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$12.13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-87.3%）。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84.2 bn </w:t>
      </w:r>
      <w:r>
        <w:rPr>
          <w:rFonts w:hint="eastAsia"/>
        </w:rPr>
        <w:t xml:space="preserve">USD；终值占比</w:t>
      </w:r>
      <w:r>
        <w:t xml:space="preserve"> 46.1%。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67.0%</w:t>
      </w:r>
      <w:r>
        <w:rPr>
          <w:rFonts w:hint="eastAsia"/>
        </w:rPr>
        <w:t xml:space="preserve">；一致预期FY+1增速</w:t>
      </w:r>
      <w:r>
        <w:t xml:space="preserve"> 14.8%。</w:t>
      </w:r>
    </w:p>
    <w:p>
      <w:pPr>
        <w:numPr>
          <w:ilvl w:val="0"/>
          <w:numId w:val="1005"/>
        </w:numPr>
      </w:pPr>
      <w:r>
        <w:t xml:space="preserve">WACC (CAPM) = rf 5.2% + β 1.60 × ERP 5.0% = 13.2%。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INTC | 504.1 bn USD | 9.1x | 45.3x | 25.4% | 38.9% | 0.6% |</w:t>
      </w:r>
      <w:r>
        <w:t xml:space="preserve"> </w:t>
      </w:r>
      <w:r>
        <w:t xml:space="preserve">| AMD | 917.8 bn USD | 22.0x | 35.7x | 50.1% | 55.7% | 1.0% |</w:t>
      </w:r>
      <w:r>
        <w:t xml:space="preserve"> </w:t>
      </w:r>
      <w:r>
        <w:t xml:space="preserve">| TSM | 2,190.0 bn USD | 3.5x | 18.4x | 36.0% | 64.2% | 33.4% |</w:t>
      </w:r>
      <w:r>
        <w:t xml:space="preserve"> </w:t>
      </w:r>
      <w:r>
        <w:t xml:space="preserve">| ARM | 261.4 bn USD | 50.0x | 79.9x | 22.4% | 97.5% | 0.5% |</w:t>
      </w:r>
      <w:r>
        <w:t xml:space="preserve"> </w:t>
      </w:r>
      <w:r>
        <w:t xml:space="preserve">| NVDA | 5,245.5 bn USD | 17.2x | 13.6x | 105.9% | 74.7% | 0.8%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95.37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2026-10-16T07:56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5.041e+11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2.973e+10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5.054e+10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5.703e+10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2.831e+09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0.0519</w:t>
            </w:r>
          </w:p>
        </w:tc>
        <w:tc>
          <w:tcPr/>
          <w:p>
            <w:pPr>
              <w:pStyle w:val="Compact"/>
            </w:pPr>
            <w:r>
              <w:t xml:space="preserve">FRED DGS10 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0.1944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0.1476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1.60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0.1476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0.04964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INTC_model_v20261016-0756.xlsx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data/snapshots/20261016-0756</w:t>
      </w:r>
      <w:r>
        <w:t xml:space="preserve"> </w:t>
      </w:r>
      <w:r>
        <w:t xml:space="preserve">(immutable) | Fetched 2026-10-16 07:56 SGT | Generated 2026-10-16 07:57 SGT</w:t>
      </w:r>
    </w:p>
    <w:p>
      <w:pPr>
        <w:pStyle w:val="Compact"/>
        <w:numPr>
          <w:ilvl w:val="0"/>
          <w:numId w:val="1007"/>
        </w:numPr>
      </w:pPr>
      <w:r>
        <w:t xml:space="preserve">Version: v20261016-0756.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v20261016-0756: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2026-10-30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INTC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INTC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INTC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INTC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INTC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177ea571a0c8626fcc59fec8dc041a73194f636"/>
    <w:p>
      <w:pPr>
        <w:pStyle w:val="Heading1"/>
      </w:pPr>
      <w:r>
        <w:t xml:space="preserve">INTC Intel Corporation — Equity Deep Dive (Professional English) v20261016-0756</w:t>
      </w:r>
    </w:p>
    <w:p>
      <w:pPr>
        <w:pStyle w:val="BlockText"/>
      </w:pPr>
      <w:r>
        <w:t xml:space="preserve">Data as of 2026-10-16 07:56 SGT | Price $95.37 | Mkt cap 504.1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Intel is a turnaround backed by US-government, NVDA and SoftBank stakes; value hinges on landing external foundry customers and stabilizing CPU share—a high-uncertainty option-like name.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14A external anchor customer; server CPU demand from agentic AI; margin </w:t>
      </w:r>
      <w:r>
        <w:rPr>
          <w:rFonts w:hint="eastAsia"/>
        </w:rPr>
        <w:t xml:space="preserve">recovery｜14A外部大客户；Agent</w:t>
      </w:r>
      <w:r>
        <w:t xml:space="preserve"> </w:t>
      </w:r>
      <w:r>
        <w:rPr>
          <w:rFonts w:hint="eastAsia"/>
        </w:rPr>
        <w:t xml:space="preserve">AI拉动服务器CPU；毛利修复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x86 CPU + foundry turnaround </w:t>
      </w:r>
      <w:r>
        <w:rPr>
          <w:rFonts w:hint="eastAsia"/>
        </w:rPr>
        <w:t xml:space="preserve">x86+代工转型</w:t>
      </w:r>
      <w:r>
        <w:t xml:space="preserve"> | Segments: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Intel Corporation designs, develops, manufactures, markets, sells, and services computing and related end products and services in the United States, Ireland, Israel, and internationally. It operates through three segments: CCG, DCAI, and Intel Foundry. The company offers client computing group products, including client and commercial CPUs, discrete client GPUs, edge computing, and connectivity products; data center and AI products, such as server CPUs, discrete GPUs, and networking products; and semiconductors comprising wafer fabrication, substrates, and other related products and services. It also provides driving assistance and self-driving solutions; and develops and manufactures multi-beam mask writing tools. The company sells its products through sales organizations, distributors, resellers, retailers, and OEM partners. It serves original equipment manufacturers, original design</w:t>
      </w:r>
    </w:p>
    <w:p>
      <w:pPr>
        <w:pStyle w:val="Compact"/>
        <w:numPr>
          <w:ilvl w:val="0"/>
          <w:numId w:val="1010"/>
        </w:numPr>
      </w:pPr>
      <w:r>
        <w:t xml:space="preserve">Customers: PC OEMs, cloud/enterprise servers, US government (CHIPS), foundry prospects (NVDA investment, </w:t>
      </w:r>
      <w:r>
        <w:rPr>
          <w:rFonts w:hint="eastAsia"/>
        </w:rPr>
        <w:t xml:space="preserve">others)｜PC厂、服务器、美国政府、潜在代工客户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ASML (High-NA EUV), equipment, TSMC (outsourced </w:t>
      </w:r>
      <w:r>
        <w:rPr>
          <w:rFonts w:hint="eastAsia"/>
        </w:rPr>
        <w:t xml:space="preserve">tiles)｜ASML、设备商、台积电(外包)</w:t>
      </w:r>
    </w:p>
    <w:p>
      <w:pPr>
        <w:pStyle w:val="Compact"/>
        <w:numPr>
          <w:ilvl w:val="0"/>
          <w:numId w:val="1011"/>
        </w:numPr>
      </w:pPr>
      <w:r>
        <w:t xml:space="preserve">Competitors: AMD, ARM-based CPUs, TSMC/Samsung in </w:t>
      </w:r>
      <w:r>
        <w:rPr>
          <w:rFonts w:hint="eastAsia"/>
        </w:rPr>
        <w:t xml:space="preserve">foundry｜AMD、ARM</w:t>
      </w:r>
      <w:r>
        <w:t xml:space="preserve"> </w:t>
      </w:r>
      <w:r>
        <w:rPr>
          <w:rFonts w:hint="eastAsia"/>
        </w:rPr>
        <w:t xml:space="preserve">CPU、台积电/三星</w:t>
      </w:r>
    </w:p>
    <w:p>
      <w:pPr>
        <w:pStyle w:val="Compact"/>
        <w:numPr>
          <w:ilvl w:val="0"/>
          <w:numId w:val="1011"/>
        </w:numPr>
      </w:pPr>
      <w:r>
        <w:t xml:space="preserve">Bottlenecks/regulation: 18A/14A yield &amp; external customers, capex funding, </w:t>
      </w:r>
      <w:r>
        <w:rPr>
          <w:rFonts w:hint="eastAsia"/>
        </w:rPr>
        <w:t xml:space="preserve">execution｜18A/14A良率与外部客户、资本开支资金、执行力</w:t>
      </w:r>
    </w:p>
    <w:p>
      <w:pPr>
        <w:pStyle w:val="Compact"/>
        <w:numPr>
          <w:ilvl w:val="0"/>
          <w:numId w:val="1011"/>
        </w:numPr>
      </w:pPr>
      <w:r>
        <w:t xml:space="preserve">KPIs: GM%, foundry op loss, 18A yield commentary, DCAI revenue, </w:t>
      </w:r>
      <w:r>
        <w:rPr>
          <w:rFonts w:hint="eastAsia"/>
        </w:rPr>
        <w:t xml:space="preserve">capex｜毛利率、代工亏损、18A良率、DCAI收入、Capex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6.5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-11.0 bn USD</w:t>
            </w:r>
          </w:p>
        </w:tc>
        <w:tc>
          <w:tcPr/>
          <w:p>
            <w:pPr>
              <w:pStyle w:val="Compact"/>
            </w:pPr>
            <w:r>
              <w:t xml:space="preserve">4.5 bn USD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13.6 bn USD</w:t>
            </w:r>
          </w:p>
        </w:tc>
        <w:tc>
          <w:tcPr/>
          <w:p>
            <w:pPr>
              <w:pStyle w:val="Compact"/>
            </w:pPr>
            <w:r>
              <w:t xml:space="preserve">5.3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-3.7 bn USD</w:t>
            </w:r>
          </w:p>
        </w:tc>
        <w:tc>
          <w:tcPr/>
          <w:p>
            <w:pPr>
              <w:pStyle w:val="Compact"/>
            </w:pPr>
            <w:r>
              <w:t xml:space="preserve">-2.5 bn USD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4.9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-0.6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5.2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12.9 bn USD</w:t>
            </w:r>
          </w:p>
        </w:tc>
        <w:tc>
          <w:tcPr/>
          <w:p>
            <w:pPr>
              <w:pStyle w:val="Compact"/>
            </w:pPr>
            <w:r>
              <w:t xml:space="preserve">3.5 bn USD</w:t>
            </w:r>
          </w:p>
        </w:tc>
        <w:tc>
          <w:tcPr/>
          <w:p>
            <w:pPr>
              <w:pStyle w:val="Compact"/>
            </w:pPr>
            <w:r>
              <w:t xml:space="preserve">-1.3 bn USD</w:t>
            </w:r>
          </w:p>
        </w:tc>
        <w:tc>
          <w:tcPr/>
          <w:p>
            <w:pPr>
              <w:pStyle w:val="Compact"/>
            </w:pPr>
            <w:r>
              <w:t xml:space="preserve">-2.9 bn USD</w:t>
            </w:r>
          </w:p>
        </w:tc>
        <w:tc>
          <w:tcPr/>
          <w:p>
            <w:pPr>
              <w:pStyle w:val="Compact"/>
            </w:pPr>
            <w:r>
              <w:t xml:space="preserve">-1.5 bn USD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</w:tr>
    </w:tbl>
    <w:p>
      <w:pPr>
        <w:pStyle w:val="BodyText"/>
      </w:pPr>
      <w:r>
        <w:t xml:space="preserve">Cash 29.7 bn USD; debt 50.5 bn USD; TTM FCF 2.8 bn USD (FCF margin 5.0%).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0.00705</w:t>
            </w:r>
          </w:p>
        </w:tc>
        <w:tc>
          <w:tcPr/>
          <w:p>
            <w:pPr>
              <w:pStyle w:val="Compact"/>
            </w:pPr>
            <w:r>
              <w:t xml:space="preserve">31.6241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0.08264</w:t>
            </w:r>
          </w:p>
        </w:tc>
        <w:tc>
          <w:tcPr/>
          <w:p>
            <w:pPr>
              <w:pStyle w:val="Compact"/>
            </w:pPr>
            <w:r>
              <w:t xml:space="preserve">0.8151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0.01313</w:t>
            </w:r>
          </w:p>
        </w:tc>
        <w:tc>
          <w:tcPr/>
          <w:p>
            <w:pPr>
              <w:pStyle w:val="Compact"/>
            </w:pPr>
            <w:r>
              <w:t xml:space="preserve">21.0868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0.21584</w:t>
            </w:r>
          </w:p>
        </w:tc>
        <w:tc>
          <w:tcPr/>
          <w:p>
            <w:pPr>
              <w:pStyle w:val="Compact"/>
            </w:pPr>
            <w:r>
              <w:t xml:space="preserve">0.94589996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2026-10-30</w:t>
      </w:r>
      <w:r>
        <w:t xml:space="preserve">; current-quarter EPS consensus 0.39265 (35 analysts); revenue consensus 16.5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$6.22</w:t>
            </w:r>
          </w:p>
        </w:tc>
        <w:tc>
          <w:tcPr/>
          <w:p>
            <w:pPr>
              <w:pStyle w:val="Compact"/>
            </w:pPr>
            <w:r>
              <w:t xml:space="preserve">-93.5%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$16.48</w:t>
            </w:r>
          </w:p>
        </w:tc>
        <w:tc>
          <w:tcPr/>
          <w:p>
            <w:pPr>
              <w:pStyle w:val="Compact"/>
            </w:pPr>
            <w:r>
              <w:t xml:space="preserve">-82.7%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$28.34</w:t>
            </w:r>
          </w:p>
        </w:tc>
        <w:tc>
          <w:tcPr/>
          <w:p>
            <w:pPr>
              <w:pStyle w:val="Compact"/>
            </w:pPr>
            <w:r>
              <w:t xml:space="preserve">-70.3%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$6.65</w:t>
            </w:r>
          </w:p>
        </w:tc>
        <w:tc>
          <w:tcPr/>
          <w:p>
            <w:pPr>
              <w:pStyle w:val="Compact"/>
            </w:pPr>
            <w:r>
              <w:t xml:space="preserve">-93.0%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$18.42</w:t>
            </w:r>
          </w:p>
        </w:tc>
        <w:tc>
          <w:tcPr/>
          <w:p>
            <w:pPr>
              <w:pStyle w:val="Compact"/>
            </w:pPr>
            <w:r>
              <w:t xml:space="preserve">-80.7%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$32.58</w:t>
            </w:r>
          </w:p>
        </w:tc>
        <w:tc>
          <w:tcPr/>
          <w:p>
            <w:pPr>
              <w:pStyle w:val="Compact"/>
            </w:pPr>
            <w:r>
              <w:t xml:space="preserve">-65.8%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$7.05</w:t>
            </w:r>
          </w:p>
        </w:tc>
        <w:tc>
          <w:tcPr/>
          <w:p>
            <w:pPr>
              <w:pStyle w:val="Compact"/>
            </w:pPr>
            <w:r>
              <w:t xml:space="preserve">-92.6%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$20.37</w:t>
            </w:r>
          </w:p>
        </w:tc>
        <w:tc>
          <w:tcPr/>
          <w:p>
            <w:pPr>
              <w:pStyle w:val="Compact"/>
            </w:pPr>
            <w:r>
              <w:t xml:space="preserve">-78.6%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$37.01</w:t>
            </w:r>
          </w:p>
        </w:tc>
        <w:tc>
          <w:tcPr/>
          <w:p>
            <w:pPr>
              <w:pStyle w:val="Compact"/>
            </w:pPr>
            <w:r>
              <w:t xml:space="preserve">-61.2%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$7.41</w:t>
            </w:r>
          </w:p>
        </w:tc>
        <w:tc>
          <w:tcPr/>
          <w:p>
            <w:pPr>
              <w:pStyle w:val="Compact"/>
            </w:pPr>
            <w:r>
              <w:t xml:space="preserve">-92.2%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$22.34</w:t>
            </w:r>
          </w:p>
        </w:tc>
        <w:tc>
          <w:tcPr/>
          <w:p>
            <w:pPr>
              <w:pStyle w:val="Compact"/>
            </w:pPr>
            <w:r>
              <w:t xml:space="preserve">-76.6%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$41.64</w:t>
            </w:r>
          </w:p>
        </w:tc>
        <w:tc>
          <w:tcPr/>
          <w:p>
            <w:pPr>
              <w:pStyle w:val="Compact"/>
            </w:pPr>
            <w:r>
              <w:t xml:space="preserve">-56.3%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115.6x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100.2x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87.2x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76.3x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$4.57</w:t>
            </w:r>
          </w:p>
        </w:tc>
        <w:tc>
          <w:tcPr/>
          <w:p>
            <w:pPr>
              <w:pStyle w:val="Compact"/>
            </w:pPr>
            <w:r>
              <w:t xml:space="preserve">-95.2%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$12.00</w:t>
            </w:r>
          </w:p>
        </w:tc>
        <w:tc>
          <w:tcPr/>
          <w:p>
            <w:pPr>
              <w:pStyle w:val="Compact"/>
            </w:pPr>
            <w:r>
              <w:t xml:space="preserve">-87.4%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19.2%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$19.97</w:t>
            </w:r>
          </w:p>
        </w:tc>
        <w:tc>
          <w:tcPr/>
          <w:p>
            <w:pPr>
              <w:pStyle w:val="Compact"/>
            </w:pPr>
            <w:r>
              <w:t xml:space="preserve">-79.1%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$12.13</w:t>
      </w:r>
      <w:r>
        <w:t xml:space="preserve"> </w:t>
      </w:r>
      <w:r>
        <w:t xml:space="preserve">(-87.3%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84.2 bn USD; terminal share 46.1%.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67.0%</w:t>
      </w:r>
      <w:r>
        <w:t xml:space="preserve"> </w:t>
      </w:r>
      <w:r>
        <w:t xml:space="preserve">vs consensus FY+1 14.8%.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1.60 × ERP 5.0% = 13.2%.</w:t>
      </w:r>
    </w:p>
    <w:p>
      <w:pPr>
        <w:pStyle w:val="Compact"/>
        <w:numPr>
          <w:ilvl w:val="0"/>
          <w:numId w:val="1013"/>
        </w:numPr>
      </w:pPr>
      <w:r>
        <w:t xml:space="preserve">SOTP segments: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| Falsifiers: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INTC_model_v20261016-0756.xlsx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data/snapshots/20261016-0756</w:t>
      </w:r>
      <w:r>
        <w:t xml:space="preserve"> </w:t>
      </w:r>
      <w:r>
        <w:t xml:space="preserve">(immutable) | Fetched 2026-10-16 07:56 SGT | Generated 2026-10-16 07:57 SGT</w:t>
      </w:r>
      <w:r>
        <w:t xml:space="preserve"> </w:t>
      </w:r>
      <w:r>
        <w:t xml:space="preserve">- Version: v20261016-0756.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2026-10-15T23:58:33Z</dcterms:created>
  <dcterms:modified xsi:type="dcterms:W3CDTF">2026-10-15T23:58:33Z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