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f5991fdf8e03b5398a418bd4a4a3f3582cd89c"/>
    <w:p>
      <w:pPr>
        <w:pStyle w:val="Heading1"/>
      </w:pPr>
      <w:r>
        <w:t xml:space="preserve">PLTR Palantir Technologies Inc. — </w:t>
      </w:r>
      <w:r>
        <w:rPr>
          <w:rFonts w:hint="eastAsia"/>
        </w:rPr>
        <w:t xml:space="preserve">个股深度研究</w:t>
      </w:r>
      <w:r>
        <w:t xml:space="preserve"> </w:t>
      </w:r>
      <w:r>
        <w:rPr>
          <w:rFonts w:hint="eastAsia"/>
        </w:rPr>
        <w:t xml:space="preserve">(专业中文版)</w:t>
      </w:r>
      <w:r>
        <w:t xml:space="preserve"> v20261016-0756</w:t>
      </w:r>
    </w:p>
    <w:p>
      <w:pPr>
        <w:pStyle w:val="BlockText"/>
      </w:pPr>
      <w:r>
        <w:rPr>
          <w:rFonts w:hint="eastAsia"/>
        </w:rPr>
        <w:t xml:space="preserve">数据截至</w:t>
      </w:r>
      <w:r>
        <w:t xml:space="preserve"> 2026-10-16 07:56 </w:t>
      </w:r>
      <w:r>
        <w:rPr>
          <w:rFonts w:hint="eastAsia"/>
        </w:rPr>
        <w:t xml:space="preserve">SGT｜价格</w:t>
      </w:r>
      <w:r>
        <w:t xml:space="preserve"> </w:t>
      </w:r>
      <w:r>
        <w:rPr>
          <w:rFonts w:hint="eastAsia"/>
        </w:rPr>
        <w:t xml:space="preserve">$200.50｜市值</w:t>
      </w:r>
      <w:r>
        <w:t xml:space="preserve"> 481.8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AIP推动美国商业收入高速增长，’Rule</w:t>
      </w:r>
      <w:r>
        <w:t xml:space="preserve"> of </w:t>
      </w:r>
      <w:r>
        <w:rPr>
          <w:rFonts w:hint="eastAsia"/>
        </w:rPr>
        <w:t xml:space="preserve">40’极高；但估值隐含数十年高增长，股价对增速边际变化极度敏感。</w:t>
      </w:r>
    </w:p>
    <w:p>
      <w:pPr>
        <w:pStyle w:val="Compact"/>
        <w:numPr>
          <w:ilvl w:val="0"/>
          <w:numId w:val="1001"/>
        </w:numPr>
      </w:pPr>
      <w:r>
        <w:rPr>
          <w:rFonts w:hint="eastAsia"/>
          <w:b/>
          <w:bCs/>
        </w:rPr>
        <w:t xml:space="preserve">多头驱动</w:t>
      </w:r>
      <w:r>
        <w:t xml:space="preserve">: US commercial &gt;60% growth sustained; large gov programs (Maven, Army </w:t>
      </w:r>
      <w:r>
        <w:rPr>
          <w:rFonts w:hint="eastAsia"/>
        </w:rPr>
        <w:t xml:space="preserve">enterprise)｜商业高增长持续；大型政府项目</w:t>
      </w:r>
    </w:p>
    <w:p>
      <w:pPr>
        <w:pStyle w:val="Compact"/>
        <w:numPr>
          <w:ilvl w:val="0"/>
          <w:numId w:val="1001"/>
        </w:numPr>
      </w:pPr>
      <w:r>
        <w:rPr>
          <w:rFonts w:hint="eastAsia"/>
          <w:b/>
          <w:bCs/>
        </w:rPr>
        <w:t xml:space="preserve">空头驱动</w:t>
      </w:r>
      <w:r>
        <w:t xml:space="preserve">: Multiple compression; gov budget delays (shutdown/CR); </w:t>
      </w:r>
      <w:r>
        <w:rPr>
          <w:rFonts w:hint="eastAsia"/>
        </w:rPr>
        <w:t xml:space="preserve">competition｜估值压缩；政府预算延迟；竞争</w:t>
      </w:r>
    </w:p>
    <w:p>
      <w:pPr>
        <w:pStyle w:val="Compact"/>
        <w:numPr>
          <w:ilvl w:val="0"/>
          <w:numId w:val="1001"/>
        </w:numPr>
      </w:pPr>
      <w:r>
        <w:rPr>
          <w:rFonts w:hint="eastAsia"/>
          <w:b/>
          <w:bCs/>
        </w:rPr>
        <w:t xml:space="preserve">证伪条件</w:t>
      </w:r>
      <w:r>
        <w:rPr>
          <w:b/>
          <w:bCs/>
        </w:rPr>
        <w:t xml:space="preserve"> Falsifiers</w:t>
      </w:r>
      <w:r>
        <w:t xml:space="preserve">: US commercial growth decelerates sharply; net dollar retention falls; RPO </w:t>
      </w:r>
      <w:r>
        <w:rPr>
          <w:rFonts w:hint="eastAsia"/>
        </w:rPr>
        <w:t xml:space="preserve">stalls｜美国商业增速骤降；净留存率下降；RPO停滞</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AI software platform </w:t>
      </w:r>
      <w:r>
        <w:rPr>
          <w:rFonts w:hint="eastAsia"/>
        </w:rPr>
        <w:t xml:space="preserve">AI软件平台</w:t>
      </w:r>
    </w:p>
    <w:p>
      <w:pPr>
        <w:pStyle w:val="Compact"/>
        <w:numPr>
          <w:ilvl w:val="0"/>
          <w:numId w:val="1002"/>
        </w:numPr>
      </w:pPr>
      <w:r>
        <w:rPr>
          <w:rFonts w:hint="eastAsia"/>
        </w:rPr>
        <w:t xml:space="preserve">业务分部</w:t>
      </w:r>
      <w:r>
        <w:t xml:space="preserve"> Segments: US Government </w:t>
      </w:r>
      <w:r>
        <w:rPr>
          <w:rFonts w:hint="eastAsia"/>
        </w:rPr>
        <w:t xml:space="preserve">美国政府；US</w:t>
      </w:r>
      <w:r>
        <w:t xml:space="preserve"> Commercial </w:t>
      </w:r>
      <w:r>
        <w:rPr>
          <w:rFonts w:hint="eastAsia"/>
        </w:rPr>
        <w:t xml:space="preserve">美国商业；International</w:t>
      </w:r>
      <w:r>
        <w:t xml:space="preserve"> </w:t>
      </w:r>
      <w:r>
        <w:rPr>
          <w:rFonts w:hint="eastAsia"/>
        </w:rPr>
        <w:t xml:space="preserve">国际</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Palantir Technologies Inc. builds and deploys software platforms for the intelligence community to assist in counterterrorism investigations and operations in the United States, the United Kingdom, and internationally. It provides Palantir Gotham integrates with other platforms for defense offerings which enables users to see, understand, and act in the modern battlespace; operations centers to the tactical edge; integrating data from domains and sensors in near real-time; and situational awareness and accelerating operational decision-making, as well as facilitates the hand-off between analysts and operational users, helping operators plan and execute real-world responses to threats that have been identified within the platform. It also offers Palantir Foundry, a platform that helps organizations operate by creating a central operating system for their data; and allows individual users</w:t>
      </w:r>
    </w:p>
    <w:p>
      <w:pPr>
        <w:pStyle w:val="Compact"/>
        <w:numPr>
          <w:ilvl w:val="0"/>
          <w:numId w:val="1002"/>
        </w:numPr>
      </w:pPr>
      <w:r>
        <w:rPr>
          <w:rFonts w:hint="eastAsia"/>
        </w:rPr>
        <w:t xml:space="preserve">主要客户:</w:t>
      </w:r>
      <w:r>
        <w:t xml:space="preserve"> US DoD/intel agencies, NATO allies, US enterprises </w:t>
      </w:r>
      <w:r>
        <w:rPr>
          <w:rFonts w:hint="eastAsia"/>
        </w:rPr>
        <w:t xml:space="preserve">(AIP)｜美国国防/情报、北约、企业(AIP)</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Cloud (AWS, Azure, Oracle), LLM </w:t>
      </w:r>
      <w:r>
        <w:rPr>
          <w:rFonts w:hint="eastAsia"/>
        </w:rPr>
        <w:t xml:space="preserve">providers｜云服务、大模型供应商</w:t>
      </w:r>
    </w:p>
    <w:p>
      <w:pPr>
        <w:pStyle w:val="Compact"/>
        <w:numPr>
          <w:ilvl w:val="0"/>
          <w:numId w:val="1003"/>
        </w:numPr>
      </w:pPr>
      <w:r>
        <w:rPr>
          <w:rFonts w:hint="eastAsia"/>
        </w:rPr>
        <w:t xml:space="preserve">竞争者</w:t>
      </w:r>
      <w:r>
        <w:t xml:space="preserve"> </w:t>
      </w:r>
      <w:r>
        <w:rPr>
          <w:rFonts w:hint="eastAsia"/>
        </w:rPr>
        <w:t xml:space="preserve">(含业外):</w:t>
      </w:r>
      <w:r>
        <w:t xml:space="preserve"> Snowflake, Databricks, hyperscaler AI stacks, defense primes, </w:t>
      </w:r>
      <w:r>
        <w:rPr>
          <w:rFonts w:hint="eastAsia"/>
        </w:rPr>
        <w:t xml:space="preserve">Anduril｜Snowflake、Databricks、云厂、国防承包商、Anduril</w:t>
      </w:r>
    </w:p>
    <w:p>
      <w:pPr>
        <w:pStyle w:val="Compact"/>
        <w:numPr>
          <w:ilvl w:val="0"/>
          <w:numId w:val="1003"/>
        </w:numPr>
      </w:pPr>
      <w:r>
        <w:rPr>
          <w:rFonts w:hint="eastAsia"/>
        </w:rPr>
        <w:t xml:space="preserve">瓶颈/监管:</w:t>
      </w:r>
      <w:r>
        <w:t xml:space="preserve"> Gov budget/appropriations, forward-deployed engineer </w:t>
      </w:r>
      <w:r>
        <w:rPr>
          <w:rFonts w:hint="eastAsia"/>
        </w:rPr>
        <w:t xml:space="preserve">scaling｜政府预算拨款、驻场工程师扩张</w:t>
      </w:r>
    </w:p>
    <w:p>
      <w:pPr>
        <w:pStyle w:val="Compact"/>
        <w:numPr>
          <w:ilvl w:val="0"/>
          <w:numId w:val="1003"/>
        </w:numPr>
      </w:pPr>
      <w:r>
        <w:rPr>
          <w:rFonts w:hint="eastAsia"/>
        </w:rPr>
        <w:t xml:space="preserve">关键KPI:</w:t>
      </w:r>
      <w:r>
        <w:t xml:space="preserve"> US commercial revenue, TCV, RPO, customer count, adj. op </w:t>
      </w:r>
      <w:r>
        <w:rPr>
          <w:rFonts w:hint="eastAsia"/>
        </w:rPr>
        <w:t xml:space="preserve">margin｜美国商业收入、TCV、RPO、客户数、调整后营业利润率</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1.9 bn USD</w:t>
            </w:r>
          </w:p>
        </w:tc>
        <w:tc>
          <w:tcPr/>
          <w:p>
            <w:pPr>
              <w:pStyle w:val="Compact"/>
            </w:pPr>
            <w:r>
              <w:t xml:space="preserve">1.6 bn USD</w:t>
            </w:r>
          </w:p>
        </w:tc>
        <w:tc>
          <w:tcPr/>
          <w:p>
            <w:pPr>
              <w:pStyle w:val="Compact"/>
            </w:pPr>
            <w:r>
              <w:t xml:space="preserve">0.9 bn USD</w:t>
            </w:r>
          </w:p>
        </w:tc>
        <w:tc>
          <w:tcPr/>
          <w:p>
            <w:pPr>
              <w:pStyle w:val="Compact"/>
            </w:pPr>
            <w:r>
              <w:t xml:space="preserve">1.1 bn USD</w:t>
            </w:r>
          </w:p>
        </w:tc>
        <w:tc>
          <w:tcPr/>
          <w:p>
            <w:pPr>
              <w:pStyle w:val="Compact"/>
            </w:pPr>
            <w:r>
              <w:t xml:space="preserve">1.2 bn USD</w:t>
            </w:r>
          </w:p>
        </w:tc>
        <w:tc>
          <w:tcPr/>
          <w:p>
            <w:pPr>
              <w:pStyle w:val="Compact"/>
            </w:pPr>
            <w:r>
              <w:t xml:space="preserve">47.1%</w:t>
            </w:r>
          </w:p>
        </w:tc>
      </w:tr>
      <w:tr>
        <w:tc>
          <w:tcPr/>
          <w:p>
            <w:pPr>
              <w:pStyle w:val="Compact"/>
            </w:pPr>
            <w:r>
              <w:t xml:space="preserve">2026-03-31</w:t>
            </w:r>
          </w:p>
        </w:tc>
        <w:tc>
          <w:tcPr/>
          <w:p>
            <w:pPr>
              <w:pStyle w:val="Compact"/>
            </w:pPr>
            <w:r>
              <w:t xml:space="preserve">1.6 bn USD</w:t>
            </w:r>
          </w:p>
        </w:tc>
        <w:tc>
          <w:tcPr/>
          <w:p>
            <w:pPr>
              <w:pStyle w:val="Compact"/>
            </w:pPr>
            <w:r>
              <w:t xml:space="preserve">1.4 bn USD</w:t>
            </w:r>
          </w:p>
        </w:tc>
        <w:tc>
          <w:tcPr/>
          <w:p>
            <w:pPr>
              <w:pStyle w:val="Compact"/>
            </w:pPr>
            <w:r>
              <w:t xml:space="preserve">0.8 bn USD</w:t>
            </w:r>
          </w:p>
        </w:tc>
        <w:tc>
          <w:tcPr/>
          <w:p>
            <w:pPr>
              <w:pStyle w:val="Compact"/>
            </w:pPr>
            <w:r>
              <w:t xml:space="preserve">0.9 bn USD</w:t>
            </w:r>
          </w:p>
        </w:tc>
        <w:tc>
          <w:tcPr/>
          <w:p>
            <w:pPr>
              <w:pStyle w:val="Compact"/>
            </w:pPr>
            <w:r>
              <w:t xml:space="preserve">0.9 bn USD</w:t>
            </w:r>
          </w:p>
        </w:tc>
        <w:tc>
          <w:tcPr/>
          <w:p>
            <w:pPr>
              <w:pStyle w:val="Compact"/>
            </w:pPr>
            <w:r>
              <w:t xml:space="preserve">46.2%</w:t>
            </w:r>
          </w:p>
        </w:tc>
      </w:tr>
      <w:tr>
        <w:tc>
          <w:tcPr/>
          <w:p>
            <w:pPr>
              <w:pStyle w:val="Compact"/>
            </w:pPr>
            <w:r>
              <w:t xml:space="preserve">2025-12-31</w:t>
            </w:r>
          </w:p>
        </w:tc>
        <w:tc>
          <w:tcPr/>
          <w:p>
            <w:pPr>
              <w:pStyle w:val="Compact"/>
            </w:pPr>
            <w:r>
              <w:t xml:space="preserve">1.4 bn USD</w:t>
            </w:r>
          </w:p>
        </w:tc>
        <w:tc>
          <w:tcPr/>
          <w:p>
            <w:pPr>
              <w:pStyle w:val="Compact"/>
            </w:pPr>
            <w:r>
              <w:t xml:space="preserve">1.2 bn USD</w:t>
            </w:r>
          </w:p>
        </w:tc>
        <w:tc>
          <w:tcPr/>
          <w:p>
            <w:pPr>
              <w:pStyle w:val="Compact"/>
            </w:pPr>
            <w:r>
              <w:t xml:space="preserve">0.6 bn USD</w:t>
            </w:r>
          </w:p>
        </w:tc>
        <w:tc>
          <w:tcPr/>
          <w:p>
            <w:pPr>
              <w:pStyle w:val="Compact"/>
            </w:pPr>
            <w:r>
              <w:t xml:space="preserve">0.6 bn USD</w:t>
            </w:r>
          </w:p>
        </w:tc>
        <w:tc>
          <w:tcPr/>
          <w:p>
            <w:pPr>
              <w:pStyle w:val="Compact"/>
            </w:pPr>
            <w:r>
              <w:t xml:space="preserve">0.8 bn USD</w:t>
            </w:r>
          </w:p>
        </w:tc>
        <w:tc>
          <w:tcPr/>
          <w:p>
            <w:pPr>
              <w:pStyle w:val="Compact"/>
            </w:pPr>
            <w:r>
              <w:t xml:space="preserve">40.9%</w:t>
            </w:r>
          </w:p>
        </w:tc>
      </w:tr>
      <w:tr>
        <w:tc>
          <w:tcPr/>
          <w:p>
            <w:pPr>
              <w:pStyle w:val="Compact"/>
            </w:pPr>
            <w:r>
              <w:t xml:space="preserve">2025-09-30</w:t>
            </w:r>
          </w:p>
        </w:tc>
        <w:tc>
          <w:tcPr/>
          <w:p>
            <w:pPr>
              <w:pStyle w:val="Compact"/>
            </w:pPr>
            <w:r>
              <w:t xml:space="preserve">1.2 bn USD</w:t>
            </w:r>
          </w:p>
        </w:tc>
        <w:tc>
          <w:tcPr/>
          <w:p>
            <w:pPr>
              <w:pStyle w:val="Compact"/>
            </w:pPr>
            <w:r>
              <w:t xml:space="preserve">1.0 bn USD</w:t>
            </w:r>
          </w:p>
        </w:tc>
        <w:tc>
          <w:tcPr/>
          <w:p>
            <w:pPr>
              <w:pStyle w:val="Compact"/>
            </w:pPr>
            <w:r>
              <w:t xml:space="preserve">0.4 bn USD</w:t>
            </w:r>
          </w:p>
        </w:tc>
        <w:tc>
          <w:tcPr/>
          <w:p>
            <w:pPr>
              <w:pStyle w:val="Compact"/>
            </w:pPr>
            <w:r>
              <w:t xml:space="preserve">0.5 bn USD</w:t>
            </w:r>
          </w:p>
        </w:tc>
        <w:tc>
          <w:tcPr/>
          <w:p>
            <w:pPr>
              <w:pStyle w:val="Compact"/>
            </w:pPr>
            <w:r>
              <w:t xml:space="preserve">0.5 bn USD</w:t>
            </w:r>
          </w:p>
        </w:tc>
        <w:tc>
          <w:tcPr/>
          <w:p>
            <w:pPr>
              <w:pStyle w:val="Compact"/>
            </w:pPr>
            <w:r>
              <w:t xml:space="preserve">33.3%</w:t>
            </w:r>
          </w:p>
        </w:tc>
      </w:tr>
      <w:tr>
        <w:tc>
          <w:tcPr/>
          <w:p>
            <w:pPr>
              <w:pStyle w:val="Compact"/>
            </w:pPr>
            <w:r>
              <w:t xml:space="preserve">2025-06-30</w:t>
            </w:r>
          </w:p>
        </w:tc>
        <w:tc>
          <w:tcPr/>
          <w:p>
            <w:pPr>
              <w:pStyle w:val="Compact"/>
            </w:pPr>
            <w:r>
              <w:t xml:space="preserve">1.0 bn USD</w:t>
            </w:r>
          </w:p>
        </w:tc>
        <w:tc>
          <w:tcPr/>
          <w:p>
            <w:pPr>
              <w:pStyle w:val="Compact"/>
            </w:pPr>
            <w:r>
              <w:t xml:space="preserve">0.8 bn USD</w:t>
            </w:r>
          </w:p>
        </w:tc>
        <w:tc>
          <w:tcPr/>
          <w:p>
            <w:pPr>
              <w:pStyle w:val="Compact"/>
            </w:pPr>
            <w:r>
              <w:t xml:space="preserve">0.3 bn USD</w:t>
            </w:r>
          </w:p>
        </w:tc>
        <w:tc>
          <w:tcPr/>
          <w:p>
            <w:pPr>
              <w:pStyle w:val="Compact"/>
            </w:pPr>
            <w:r>
              <w:t xml:space="preserve">0.3 bn USD</w:t>
            </w:r>
          </w:p>
        </w:tc>
        <w:tc>
          <w:tcPr/>
          <w:p>
            <w:pPr>
              <w:pStyle w:val="Compact"/>
            </w:pPr>
            <w:r>
              <w:t xml:space="preserve">0.5 bn USD</w:t>
            </w:r>
          </w:p>
        </w:tc>
        <w:tc>
          <w:tcPr/>
          <w:p>
            <w:pPr>
              <w:pStyle w:val="Compact"/>
            </w:pPr>
            <w:r>
              <w:t xml:space="preserve">26.8%</w:t>
            </w:r>
          </w:p>
        </w:tc>
      </w:tr>
    </w:tbl>
    <w:p>
      <w:pPr>
        <w:pStyle w:val="BodyText"/>
      </w:pPr>
      <w:r>
        <w:rPr>
          <w:rFonts w:hint="eastAsia"/>
        </w:rPr>
        <w:t xml:space="preserve">资产负债:</w:t>
      </w:r>
      <w:r>
        <w:t xml:space="preserve"> </w:t>
      </w:r>
      <w:r>
        <w:rPr>
          <w:rFonts w:hint="eastAsia"/>
        </w:rPr>
        <w:t xml:space="preserve">现金</w:t>
      </w:r>
      <w:r>
        <w:t xml:space="preserve"> 9.4 bn </w:t>
      </w:r>
      <w:r>
        <w:rPr>
          <w:rFonts w:hint="eastAsia"/>
        </w:rPr>
        <w:t xml:space="preserve">USD；总负债</w:t>
      </w:r>
      <w:r>
        <w:t xml:space="preserve"> 0.2 bn </w:t>
      </w:r>
      <w:r>
        <w:rPr>
          <w:rFonts w:hint="eastAsia"/>
        </w:rPr>
        <w:t xml:space="preserve">USD；净现金</w:t>
      </w:r>
      <w:r>
        <w:t xml:space="preserve"> 9.2 bn USD。TTM FCF 3.4 bn </w:t>
      </w:r>
      <w:r>
        <w:rPr>
          <w:rFonts w:hint="eastAsia"/>
        </w:rPr>
        <w:t xml:space="preserve">USD（FCF率</w:t>
      </w:r>
      <w:r>
        <w:t xml:space="preserve"> </w:t>
      </w:r>
      <w:r>
        <w:rPr>
          <w:rFonts w:hint="eastAsia"/>
        </w:rPr>
        <w:t xml:space="preserve">54.6%）。</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0.21</w:t>
            </w:r>
          </w:p>
        </w:tc>
        <w:tc>
          <w:tcPr/>
          <w:p>
            <w:pPr>
              <w:pStyle w:val="Compact"/>
            </w:pPr>
            <w:r>
              <w:t xml:space="preserve">0.16738</w:t>
            </w:r>
          </w:p>
        </w:tc>
        <w:tc>
          <w:tcPr/>
          <w:p>
            <w:pPr>
              <w:pStyle w:val="Compact"/>
            </w:pPr>
            <w:r>
              <w:t xml:space="preserve">0.2546</w:t>
            </w:r>
          </w:p>
        </w:tc>
      </w:tr>
      <w:tr>
        <w:tc>
          <w:tcPr/>
          <w:p>
            <w:pPr>
              <w:pStyle w:val="Compact"/>
            </w:pPr>
            <w:r>
              <w:t xml:space="preserve">2025-12-31</w:t>
            </w:r>
          </w:p>
        </w:tc>
        <w:tc>
          <w:tcPr/>
          <w:p>
            <w:pPr>
              <w:pStyle w:val="Compact"/>
            </w:pPr>
            <w:r>
              <w:t xml:space="preserve">0.25</w:t>
            </w:r>
          </w:p>
        </w:tc>
        <w:tc>
          <w:tcPr/>
          <w:p>
            <w:pPr>
              <w:pStyle w:val="Compact"/>
            </w:pPr>
            <w:r>
              <w:t xml:space="preserve">0.2302</w:t>
            </w:r>
          </w:p>
        </w:tc>
        <w:tc>
          <w:tcPr/>
          <w:p>
            <w:pPr>
              <w:pStyle w:val="Compact"/>
            </w:pPr>
            <w:r>
              <w:t xml:space="preserve">0.086</w:t>
            </w:r>
          </w:p>
        </w:tc>
      </w:tr>
      <w:tr>
        <w:tc>
          <w:tcPr/>
          <w:p>
            <w:pPr>
              <w:pStyle w:val="Compact"/>
            </w:pPr>
            <w:r>
              <w:t xml:space="preserve">2026-03-31</w:t>
            </w:r>
          </w:p>
        </w:tc>
        <w:tc>
          <w:tcPr/>
          <w:p>
            <w:pPr>
              <w:pStyle w:val="Compact"/>
            </w:pPr>
            <w:r>
              <w:t xml:space="preserve">0.33</w:t>
            </w:r>
          </w:p>
        </w:tc>
        <w:tc>
          <w:tcPr/>
          <w:p>
            <w:pPr>
              <w:pStyle w:val="Compact"/>
            </w:pPr>
            <w:r>
              <w:t xml:space="preserve">0.27946</w:t>
            </w:r>
          </w:p>
        </w:tc>
        <w:tc>
          <w:tcPr/>
          <w:p>
            <w:pPr>
              <w:pStyle w:val="Compact"/>
            </w:pPr>
            <w:r>
              <w:t xml:space="preserve">0.1808</w:t>
            </w:r>
          </w:p>
        </w:tc>
      </w:tr>
      <w:tr>
        <w:tc>
          <w:tcPr/>
          <w:p>
            <w:pPr>
              <w:pStyle w:val="Compact"/>
            </w:pPr>
            <w:r>
              <w:t xml:space="preserve">2026-06-30</w:t>
            </w:r>
          </w:p>
        </w:tc>
        <w:tc>
          <w:tcPr/>
          <w:p>
            <w:pPr>
              <w:pStyle w:val="Compact"/>
            </w:pPr>
            <w:r>
              <w:t xml:space="preserve">0.41</w:t>
            </w:r>
          </w:p>
        </w:tc>
        <w:tc>
          <w:tcPr/>
          <w:p>
            <w:pPr>
              <w:pStyle w:val="Compact"/>
            </w:pPr>
            <w:r>
              <w:t xml:space="preserve">0.34596</w:t>
            </w:r>
          </w:p>
        </w:tc>
        <w:tc>
          <w:tcPr/>
          <w:p>
            <w:pPr>
              <w:pStyle w:val="Compact"/>
            </w:pPr>
            <w:r>
              <w:t xml:space="preserve">0.1851</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2026-11-03</w:t>
      </w:r>
      <w:r>
        <w:rPr>
          <w:rFonts w:hint="eastAsia"/>
        </w:rPr>
        <w:t xml:space="preserve">；本季EPS一致预期</w:t>
      </w:r>
      <w:r>
        <w:t xml:space="preserve"> </w:t>
      </w:r>
      <w:r>
        <w:rPr>
          <w:rFonts w:hint="eastAsia"/>
        </w:rPr>
        <w:t xml:space="preserve">0.41222（24位分析师）；收入一致预期</w:t>
      </w:r>
      <w:r>
        <w:t xml:space="preserve"> 2.2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$28.22</w:t>
            </w:r>
          </w:p>
        </w:tc>
        <w:tc>
          <w:tcPr/>
          <w:p>
            <w:pPr>
              <w:pStyle w:val="Compact"/>
            </w:pPr>
            <w:r>
              <w:t xml:space="preserve">-85.9%</w:t>
            </w:r>
          </w:p>
        </w:tc>
      </w:tr>
      <w:tr>
        <w:tc>
          <w:tcPr/>
          <w:p>
            <w:pPr>
              <w:pStyle w:val="Compact"/>
            </w:pPr>
            <w:r>
              <w:t xml:space="preserve">2Q</w:t>
            </w:r>
          </w:p>
        </w:tc>
        <w:tc>
          <w:tcPr/>
          <w:p>
            <w:pPr>
              <w:pStyle w:val="Compact"/>
            </w:pPr>
            <w:r>
              <w:t xml:space="preserve">Base</w:t>
            </w:r>
          </w:p>
        </w:tc>
        <w:tc>
          <w:tcPr/>
          <w:p>
            <w:pPr>
              <w:pStyle w:val="Compact"/>
            </w:pPr>
            <w:r>
              <w:t xml:space="preserve">$60.83</w:t>
            </w:r>
          </w:p>
        </w:tc>
        <w:tc>
          <w:tcPr/>
          <w:p>
            <w:pPr>
              <w:pStyle w:val="Compact"/>
            </w:pPr>
            <w:r>
              <w:t xml:space="preserve">-69.7%</w:t>
            </w:r>
          </w:p>
        </w:tc>
      </w:tr>
      <w:tr>
        <w:tc>
          <w:tcPr/>
          <w:p>
            <w:pPr>
              <w:pStyle w:val="Compact"/>
            </w:pPr>
            <w:r>
              <w:t xml:space="preserve">2Q</w:t>
            </w:r>
          </w:p>
        </w:tc>
        <w:tc>
          <w:tcPr/>
          <w:p>
            <w:pPr>
              <w:pStyle w:val="Compact"/>
            </w:pPr>
            <w:r>
              <w:t xml:space="preserve">Bull</w:t>
            </w:r>
          </w:p>
        </w:tc>
        <w:tc>
          <w:tcPr/>
          <w:p>
            <w:pPr>
              <w:pStyle w:val="Compact"/>
            </w:pPr>
            <w:r>
              <w:t xml:space="preserve">$99.89</w:t>
            </w:r>
          </w:p>
        </w:tc>
        <w:tc>
          <w:tcPr/>
          <w:p>
            <w:pPr>
              <w:pStyle w:val="Compact"/>
            </w:pPr>
            <w:r>
              <w:t xml:space="preserve">-50.2%</w:t>
            </w:r>
          </w:p>
        </w:tc>
      </w:tr>
      <w:tr>
        <w:tc>
          <w:tcPr/>
          <w:p>
            <w:pPr>
              <w:pStyle w:val="Compact"/>
            </w:pPr>
            <w:r>
              <w:t xml:space="preserve">4Q</w:t>
            </w:r>
          </w:p>
        </w:tc>
        <w:tc>
          <w:tcPr/>
          <w:p>
            <w:pPr>
              <w:pStyle w:val="Compact"/>
            </w:pPr>
            <w:r>
              <w:t xml:space="preserve">Bear</w:t>
            </w:r>
          </w:p>
        </w:tc>
        <w:tc>
          <w:tcPr/>
          <w:p>
            <w:pPr>
              <w:pStyle w:val="Compact"/>
            </w:pPr>
            <w:r>
              <w:t xml:space="preserve">$28.16</w:t>
            </w:r>
          </w:p>
        </w:tc>
        <w:tc>
          <w:tcPr/>
          <w:p>
            <w:pPr>
              <w:pStyle w:val="Compact"/>
            </w:pPr>
            <w:r>
              <w:t xml:space="preserve">-86.0%</w:t>
            </w:r>
          </w:p>
        </w:tc>
      </w:tr>
      <w:tr>
        <w:tc>
          <w:tcPr/>
          <w:p>
            <w:pPr>
              <w:pStyle w:val="Compact"/>
            </w:pPr>
            <w:r>
              <w:t xml:space="preserve">4Q</w:t>
            </w:r>
          </w:p>
        </w:tc>
        <w:tc>
          <w:tcPr/>
          <w:p>
            <w:pPr>
              <w:pStyle w:val="Compact"/>
            </w:pPr>
            <w:r>
              <w:t xml:space="preserve">Base</w:t>
            </w:r>
          </w:p>
        </w:tc>
        <w:tc>
          <w:tcPr/>
          <w:p>
            <w:pPr>
              <w:pStyle w:val="Compact"/>
            </w:pPr>
            <w:r>
              <w:t xml:space="preserve">$68.07</w:t>
            </w:r>
          </w:p>
        </w:tc>
        <w:tc>
          <w:tcPr/>
          <w:p>
            <w:pPr>
              <w:pStyle w:val="Compact"/>
            </w:pPr>
            <w:r>
              <w:t xml:space="preserve">-66.1%</w:t>
            </w:r>
          </w:p>
        </w:tc>
      </w:tr>
      <w:tr>
        <w:tc>
          <w:tcPr/>
          <w:p>
            <w:pPr>
              <w:pStyle w:val="Compact"/>
            </w:pPr>
            <w:r>
              <w:t xml:space="preserve">4Q</w:t>
            </w:r>
          </w:p>
        </w:tc>
        <w:tc>
          <w:tcPr/>
          <w:p>
            <w:pPr>
              <w:pStyle w:val="Compact"/>
            </w:pPr>
            <w:r>
              <w:t xml:space="preserve">Bull</w:t>
            </w:r>
          </w:p>
        </w:tc>
        <w:tc>
          <w:tcPr/>
          <w:p>
            <w:pPr>
              <w:pStyle w:val="Compact"/>
            </w:pPr>
            <w:r>
              <w:t xml:space="preserve">$119.36</w:t>
            </w:r>
          </w:p>
        </w:tc>
        <w:tc>
          <w:tcPr/>
          <w:p>
            <w:pPr>
              <w:pStyle w:val="Compact"/>
            </w:pPr>
            <w:r>
              <w:t xml:space="preserve">-40.5%</w:t>
            </w:r>
          </w:p>
        </w:tc>
      </w:tr>
      <w:tr>
        <w:tc>
          <w:tcPr/>
          <w:p>
            <w:pPr>
              <w:pStyle w:val="Compact"/>
            </w:pPr>
            <w:r>
              <w:t xml:space="preserve">6Q</w:t>
            </w:r>
          </w:p>
        </w:tc>
        <w:tc>
          <w:tcPr/>
          <w:p>
            <w:pPr>
              <w:pStyle w:val="Compact"/>
            </w:pPr>
            <w:r>
              <w:t xml:space="preserve">Bear</w:t>
            </w:r>
          </w:p>
        </w:tc>
        <w:tc>
          <w:tcPr/>
          <w:p>
            <w:pPr>
              <w:pStyle w:val="Compact"/>
            </w:pPr>
            <w:r>
              <w:t xml:space="preserve">$28.07</w:t>
            </w:r>
          </w:p>
        </w:tc>
        <w:tc>
          <w:tcPr/>
          <w:p>
            <w:pPr>
              <w:pStyle w:val="Compact"/>
            </w:pPr>
            <w:r>
              <w:t xml:space="preserve">-86.0%</w:t>
            </w:r>
          </w:p>
        </w:tc>
      </w:tr>
      <w:tr>
        <w:tc>
          <w:tcPr/>
          <w:p>
            <w:pPr>
              <w:pStyle w:val="Compact"/>
            </w:pPr>
            <w:r>
              <w:t xml:space="preserve">6Q</w:t>
            </w:r>
          </w:p>
        </w:tc>
        <w:tc>
          <w:tcPr/>
          <w:p>
            <w:pPr>
              <w:pStyle w:val="Compact"/>
            </w:pPr>
            <w:r>
              <w:t xml:space="preserve">Base</w:t>
            </w:r>
          </w:p>
        </w:tc>
        <w:tc>
          <w:tcPr/>
          <w:p>
            <w:pPr>
              <w:pStyle w:val="Compact"/>
            </w:pPr>
            <w:r>
              <w:t xml:space="preserve">$76.27</w:t>
            </w:r>
          </w:p>
        </w:tc>
        <w:tc>
          <w:tcPr/>
          <w:p>
            <w:pPr>
              <w:pStyle w:val="Compact"/>
            </w:pPr>
            <w:r>
              <w:t xml:space="preserve">-62.0%</w:t>
            </w:r>
          </w:p>
        </w:tc>
      </w:tr>
      <w:tr>
        <w:tc>
          <w:tcPr/>
          <w:p>
            <w:pPr>
              <w:pStyle w:val="Compact"/>
            </w:pPr>
            <w:r>
              <w:t xml:space="preserve">6Q</w:t>
            </w:r>
          </w:p>
        </w:tc>
        <w:tc>
          <w:tcPr/>
          <w:p>
            <w:pPr>
              <w:pStyle w:val="Compact"/>
            </w:pPr>
            <w:r>
              <w:t xml:space="preserve">Bull</w:t>
            </w:r>
          </w:p>
        </w:tc>
        <w:tc>
          <w:tcPr/>
          <w:p>
            <w:pPr>
              <w:pStyle w:val="Compact"/>
            </w:pPr>
            <w:r>
              <w:t xml:space="preserve">$142.84</w:t>
            </w:r>
          </w:p>
        </w:tc>
        <w:tc>
          <w:tcPr/>
          <w:p>
            <w:pPr>
              <w:pStyle w:val="Compact"/>
            </w:pPr>
            <w:r>
              <w:t xml:space="preserve">-28.8%</w:t>
            </w:r>
          </w:p>
        </w:tc>
      </w:tr>
      <w:tr>
        <w:tc>
          <w:tcPr/>
          <w:p>
            <w:pPr>
              <w:pStyle w:val="Compact"/>
            </w:pPr>
            <w:r>
              <w:t xml:space="preserve">8Q</w:t>
            </w:r>
          </w:p>
        </w:tc>
        <w:tc>
          <w:tcPr/>
          <w:p>
            <w:pPr>
              <w:pStyle w:val="Compact"/>
            </w:pPr>
            <w:r>
              <w:t xml:space="preserve">Bear</w:t>
            </w:r>
          </w:p>
        </w:tc>
        <w:tc>
          <w:tcPr/>
          <w:p>
            <w:pPr>
              <w:pStyle w:val="Compact"/>
            </w:pPr>
            <w:r>
              <w:t xml:space="preserve">$27.96</w:t>
            </w:r>
          </w:p>
        </w:tc>
        <w:tc>
          <w:tcPr/>
          <w:p>
            <w:pPr>
              <w:pStyle w:val="Compact"/>
            </w:pPr>
            <w:r>
              <w:t xml:space="preserve">-86.1%</w:t>
            </w:r>
          </w:p>
        </w:tc>
      </w:tr>
      <w:tr>
        <w:tc>
          <w:tcPr/>
          <w:p>
            <w:pPr>
              <w:pStyle w:val="Compact"/>
            </w:pPr>
            <w:r>
              <w:t xml:space="preserve">8Q</w:t>
            </w:r>
          </w:p>
        </w:tc>
        <w:tc>
          <w:tcPr/>
          <w:p>
            <w:pPr>
              <w:pStyle w:val="Compact"/>
            </w:pPr>
            <w:r>
              <w:t xml:space="preserve">Base</w:t>
            </w:r>
          </w:p>
        </w:tc>
        <w:tc>
          <w:tcPr/>
          <w:p>
            <w:pPr>
              <w:pStyle w:val="Compact"/>
            </w:pPr>
            <w:r>
              <w:t xml:space="preserve">$85.55</w:t>
            </w:r>
          </w:p>
        </w:tc>
        <w:tc>
          <w:tcPr/>
          <w:p>
            <w:pPr>
              <w:pStyle w:val="Compact"/>
            </w:pPr>
            <w:r>
              <w:t xml:space="preserve">-57.3%</w:t>
            </w:r>
          </w:p>
        </w:tc>
      </w:tr>
      <w:tr>
        <w:tc>
          <w:tcPr/>
          <w:p>
            <w:pPr>
              <w:pStyle w:val="Compact"/>
            </w:pPr>
            <w:r>
              <w:t xml:space="preserve">8Q</w:t>
            </w:r>
          </w:p>
        </w:tc>
        <w:tc>
          <w:tcPr/>
          <w:p>
            <w:pPr>
              <w:pStyle w:val="Compact"/>
            </w:pPr>
            <w:r>
              <w:t xml:space="preserve">Bull</w:t>
            </w:r>
          </w:p>
        </w:tc>
        <w:tc>
          <w:tcPr/>
          <w:p>
            <w:pPr>
              <w:pStyle w:val="Compact"/>
            </w:pPr>
            <w:r>
              <w:t xml:space="preserve">$171.18</w:t>
            </w:r>
          </w:p>
        </w:tc>
        <w:tc>
          <w:tcPr/>
          <w:p>
            <w:pPr>
              <w:pStyle w:val="Compact"/>
            </w:pPr>
            <w:r>
              <w:t xml:space="preserve">-14.6%</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80.8x</w:t>
            </w:r>
          </w:p>
        </w:tc>
      </w:tr>
      <w:tr>
        <w:tc>
          <w:tcPr/>
          <w:p>
            <w:pPr>
              <w:pStyle w:val="Compact"/>
            </w:pPr>
            <w:r>
              <w:t xml:space="preserve">4Q</w:t>
            </w:r>
          </w:p>
        </w:tc>
        <w:tc>
          <w:tcPr/>
          <w:p>
            <w:pPr>
              <w:pStyle w:val="Compact"/>
            </w:pPr>
            <w:r>
              <w:t xml:space="preserve">67.2x</w:t>
            </w:r>
          </w:p>
        </w:tc>
      </w:tr>
      <w:tr>
        <w:tc>
          <w:tcPr/>
          <w:p>
            <w:pPr>
              <w:pStyle w:val="Compact"/>
            </w:pPr>
            <w:r>
              <w:t xml:space="preserve">6Q</w:t>
            </w:r>
          </w:p>
        </w:tc>
        <w:tc>
          <w:tcPr/>
          <w:p>
            <w:pPr>
              <w:pStyle w:val="Compact"/>
            </w:pPr>
            <w:r>
              <w:t xml:space="preserve">55.9x</w:t>
            </w:r>
          </w:p>
        </w:tc>
      </w:tr>
      <w:tr>
        <w:tc>
          <w:tcPr/>
          <w:p>
            <w:pPr>
              <w:pStyle w:val="Compact"/>
            </w:pPr>
            <w:r>
              <w:t xml:space="preserve">8Q</w:t>
            </w:r>
          </w:p>
        </w:tc>
        <w:tc>
          <w:tcPr/>
          <w:p>
            <w:pPr>
              <w:pStyle w:val="Compact"/>
            </w:pPr>
            <w:r>
              <w:t xml:space="preserve">46.5x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25.1%</w:t>
            </w:r>
          </w:p>
        </w:tc>
        <w:tc>
          <w:tcPr/>
          <w:p>
            <w:pPr>
              <w:pStyle w:val="Compact"/>
            </w:pPr>
            <w:r>
              <w:t xml:space="preserve">36.0%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$23.35</w:t>
            </w:r>
          </w:p>
        </w:tc>
        <w:tc>
          <w:tcPr/>
          <w:p>
            <w:pPr>
              <w:pStyle w:val="Compact"/>
            </w:pPr>
            <w:r>
              <w:t xml:space="preserve">-88.4%</w:t>
            </w:r>
          </w:p>
        </w:tc>
      </w:tr>
      <w:tr>
        <w:tc>
          <w:tcPr/>
          <w:p>
            <w:pPr>
              <w:pStyle w:val="Compact"/>
            </w:pPr>
            <w:r>
              <w:t xml:space="preserve">Base</w:t>
            </w:r>
          </w:p>
        </w:tc>
        <w:tc>
          <w:tcPr/>
          <w:p>
            <w:pPr>
              <w:pStyle w:val="Compact"/>
            </w:pPr>
            <w:r>
              <w:t xml:space="preserve">50.1%</w:t>
            </w:r>
          </w:p>
        </w:tc>
        <w:tc>
          <w:tcPr/>
          <w:p>
            <w:pPr>
              <w:pStyle w:val="Compact"/>
            </w:pPr>
            <w:r>
              <w:t xml:space="preserve">45.0%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$67.82</w:t>
            </w:r>
          </w:p>
        </w:tc>
        <w:tc>
          <w:tcPr/>
          <w:p>
            <w:pPr>
              <w:pStyle w:val="Compact"/>
            </w:pPr>
            <w:r>
              <w:t xml:space="preserve">-66.2%</w:t>
            </w:r>
          </w:p>
        </w:tc>
      </w:tr>
      <w:tr>
        <w:tc>
          <w:tcPr/>
          <w:p>
            <w:pPr>
              <w:pStyle w:val="Compact"/>
            </w:pPr>
            <w:r>
              <w:t xml:space="preserve">Bull</w:t>
            </w:r>
          </w:p>
        </w:tc>
        <w:tc>
          <w:tcPr/>
          <w:p>
            <w:pPr>
              <w:pStyle w:val="Compact"/>
            </w:pPr>
            <w:r>
              <w:t xml:space="preserve">65.2%</w:t>
            </w:r>
          </w:p>
        </w:tc>
        <w:tc>
          <w:tcPr/>
          <w:p>
            <w:pPr>
              <w:pStyle w:val="Compact"/>
            </w:pPr>
            <w:r>
              <w:t xml:space="preserve">51.7%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$136.51</w:t>
            </w:r>
          </w:p>
        </w:tc>
        <w:tc>
          <w:tcPr/>
          <w:p>
            <w:pPr>
              <w:pStyle w:val="Compact"/>
            </w:pPr>
            <w:r>
              <w:t xml:space="preserve">-31.9%</w:t>
            </w:r>
          </w:p>
        </w:tc>
      </w:tr>
    </w:tbl>
    <w:p>
      <w:pPr>
        <w:pStyle w:val="BodyText"/>
      </w:pPr>
      <w:r>
        <w:rPr>
          <w:rFonts w:hint="eastAsia"/>
        </w:rPr>
        <w:t xml:space="preserve">概率加权价值</w:t>
      </w:r>
      <w:r>
        <w:t xml:space="preserve"> </w:t>
      </w:r>
      <w:r>
        <w:rPr>
          <w:b/>
          <w:bCs/>
        </w:rPr>
        <w:t xml:space="preserve">$73.88</w:t>
      </w:r>
      <w:r>
        <w:rPr>
          <w:rFonts w:hint="eastAsia"/>
        </w:rPr>
        <w:t xml:space="preserve">（相对现价</w:t>
      </w:r>
      <w:r>
        <w:t xml:space="preserve"> </w:t>
      </w:r>
      <w:r>
        <w:rPr>
          <w:rFonts w:hint="eastAsia"/>
        </w:rPr>
        <w:t xml:space="preserve">-63.2%）。</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153.8 bn </w:t>
      </w:r>
      <w:r>
        <w:rPr>
          <w:rFonts w:hint="eastAsia"/>
        </w:rPr>
        <w:t xml:space="preserve">USD；终值占比</w:t>
      </w:r>
      <w:r>
        <w:t xml:space="preserve"> 51.8%。</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86.4%</w:t>
      </w:r>
      <w:r>
        <w:rPr>
          <w:rFonts w:hint="eastAsia"/>
        </w:rPr>
        <w:t xml:space="preserve">；一致预期FY+1增速</w:t>
      </w:r>
      <w:r>
        <w:t xml:space="preserve"> 50.1%。</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US Government </w:t>
      </w:r>
      <w:r>
        <w:rPr>
          <w:rFonts w:hint="eastAsia"/>
        </w:rPr>
        <w:t xml:space="preserve">美国政府;</w:t>
      </w:r>
      <w:r>
        <w:t xml:space="preserve"> US Commercial </w:t>
      </w:r>
      <w:r>
        <w:rPr>
          <w:rFonts w:hint="eastAsia"/>
        </w:rPr>
        <w:t xml:space="preserve">美国商业;</w:t>
      </w:r>
      <w:r>
        <w:t xml:space="preserve"> International </w:t>
      </w:r>
      <w:r>
        <w:rPr>
          <w:rFonts w:hint="eastAsia"/>
        </w:rPr>
        <w:t xml:space="preserve">国际.</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PLTR | 481.8 bn USD | 76.8x | 85.3x | 92.8% | 84.8% | 0.7% |</w:t>
      </w:r>
      <w:r>
        <w:t xml:space="preserve"> </w:t>
      </w:r>
      <w:r>
        <w:t xml:space="preserve">| CRWD | 250.4 bn USD | 45.6x | 151.8x | 25.8% | 75.2% | 0.8% |</w:t>
      </w:r>
      <w:r>
        <w:t xml:space="preserve"> </w:t>
      </w:r>
      <w:r>
        <w:t xml:space="preserve">| SNOW | 118.2 bn USD | 21.8x | 111.5x | 35.1% | 67.0% | 1.5% |</w:t>
      </w:r>
      <w:r>
        <w:t xml:space="preserve"> </w:t>
      </w:r>
      <w:r>
        <w:t xml:space="preserve">| NOW | 153.6 bn USD | 10.7x | 29.7x | 24.0% | 74.8% | 3.4% |</w:t>
      </w:r>
      <w:r>
        <w:t xml:space="preserve"> </w:t>
      </w:r>
      <w:r>
        <w:t xml:space="preserve">| DDOG | 95.6 bn USD | 23.2x | 89.5x | 35.6% | 79.5% | 1.1%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Multiple compression; gov budget delays (shutdown/CR); </w:t>
      </w:r>
      <w:r>
        <w:rPr>
          <w:rFonts w:hint="eastAsia"/>
        </w:rPr>
        <w:t xml:space="preserve">competition｜估值压缩；政府预算延迟；竞争</w:t>
      </w:r>
    </w:p>
    <w:p>
      <w:pPr>
        <w:pStyle w:val="Compact"/>
        <w:numPr>
          <w:ilvl w:val="0"/>
          <w:numId w:val="1006"/>
        </w:numPr>
      </w:pPr>
      <w:r>
        <w:rPr>
          <w:rFonts w:hint="eastAsia"/>
        </w:rPr>
        <w:t xml:space="preserve">证伪指标:</w:t>
      </w:r>
      <w:r>
        <w:t xml:space="preserve"> US commercial growth decelerates sharply; net dollar retention falls; RPO </w:t>
      </w:r>
      <w:r>
        <w:rPr>
          <w:rFonts w:hint="eastAsia"/>
        </w:rPr>
        <w:t xml:space="preserve">stalls｜美国商业增速骤降；净留存率下降；RPO停滞</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200.5</w:t>
            </w:r>
          </w:p>
        </w:tc>
        <w:tc>
          <w:tcPr/>
          <w:p>
            <w:pPr>
              <w:pStyle w:val="Compact"/>
            </w:pPr>
            <w:r>
              <w:t xml:space="preserve">Yahoo Finance quote, fetched 2026-10-16T07:56 SGT</w:t>
            </w:r>
          </w:p>
        </w:tc>
      </w:tr>
      <w:tr>
        <w:tc>
          <w:tcPr/>
          <w:p>
            <w:pPr>
              <w:pStyle w:val="Compact"/>
            </w:pPr>
            <w:r>
              <w:t xml:space="preserve">Market cap </w:t>
            </w:r>
            <w:r>
              <w:rPr>
                <w:rFonts w:hint="eastAsia"/>
              </w:rPr>
              <w:t xml:space="preserve">市值</w:t>
            </w:r>
          </w:p>
        </w:tc>
        <w:tc>
          <w:tcPr/>
          <w:p>
            <w:pPr>
              <w:pStyle w:val="Compact"/>
            </w:pPr>
            <w:r>
              <w:t xml:space="preserve">4.818e+11</w:t>
            </w:r>
          </w:p>
        </w:tc>
        <w:tc>
          <w:tcPr/>
          <w:p>
            <w:pPr>
              <w:pStyle w:val="Compact"/>
            </w:pPr>
            <w:r>
              <w:t xml:space="preserve">Yahoo info.marketCap 2026-10-16T07:56</w:t>
            </w:r>
          </w:p>
        </w:tc>
      </w:tr>
      <w:tr>
        <w:tc>
          <w:tcPr/>
          <w:p>
            <w:pPr>
              <w:pStyle w:val="Compact"/>
            </w:pPr>
            <w:r>
              <w:t xml:space="preserve">Cash </w:t>
            </w:r>
            <w:r>
              <w:rPr>
                <w:rFonts w:hint="eastAsia"/>
              </w:rPr>
              <w:t xml:space="preserve">现金</w:t>
            </w:r>
          </w:p>
        </w:tc>
        <w:tc>
          <w:tcPr/>
          <w:p>
            <w:pPr>
              <w:pStyle w:val="Compact"/>
            </w:pPr>
            <w:r>
              <w:t xml:space="preserve">9.409e+09</w:t>
            </w:r>
          </w:p>
        </w:tc>
        <w:tc>
          <w:tcPr/>
          <w:p>
            <w:pPr>
              <w:pStyle w:val="Compact"/>
            </w:pPr>
            <w:r>
              <w:t xml:space="preserve">Yahoo info.totalCash (latest filing) 2026-10-16T07:56</w:t>
            </w:r>
          </w:p>
        </w:tc>
      </w:tr>
      <w:tr>
        <w:tc>
          <w:tcPr/>
          <w:p>
            <w:pPr>
              <w:pStyle w:val="Compact"/>
            </w:pPr>
            <w:r>
              <w:t xml:space="preserve">Debt </w:t>
            </w:r>
            <w:r>
              <w:rPr>
                <w:rFonts w:hint="eastAsia"/>
              </w:rPr>
              <w:t xml:space="preserve">负债</w:t>
            </w:r>
          </w:p>
        </w:tc>
        <w:tc>
          <w:tcPr/>
          <w:p>
            <w:pPr>
              <w:pStyle w:val="Compact"/>
            </w:pPr>
            <w:r>
              <w:t xml:space="preserve">2.114e+08</w:t>
            </w:r>
          </w:p>
        </w:tc>
        <w:tc>
          <w:tcPr/>
          <w:p>
            <w:pPr>
              <w:pStyle w:val="Compact"/>
            </w:pPr>
            <w:r>
              <w:t xml:space="preserve">Yahoo info.totalDebt (latest filing) 2026-10-16T07:56</w:t>
            </w:r>
          </w:p>
        </w:tc>
      </w:tr>
      <w:tr>
        <w:tc>
          <w:tcPr/>
          <w:p>
            <w:pPr>
              <w:pStyle w:val="Compact"/>
            </w:pPr>
            <w:r>
              <w:t xml:space="preserve">Revenue TTM </w:t>
            </w:r>
            <w:r>
              <w:rPr>
                <w:rFonts w:hint="eastAsia"/>
              </w:rPr>
              <w:t xml:space="preserve">收入</w:t>
            </w:r>
          </w:p>
        </w:tc>
        <w:tc>
          <w:tcPr/>
          <w:p>
            <w:pPr>
              <w:pStyle w:val="Compact"/>
            </w:pPr>
            <w:r>
              <w:t xml:space="preserve">6.156e+09</w:t>
            </w:r>
          </w:p>
        </w:tc>
        <w:tc>
          <w:tcPr/>
          <w:p>
            <w:pPr>
              <w:pStyle w:val="Compact"/>
            </w:pPr>
            <w:r>
              <w:t xml:space="preserve">Yahoo info.totalRevenue (TTM, USD) 2026-10-16T07:56</w:t>
            </w:r>
          </w:p>
        </w:tc>
      </w:tr>
      <w:tr>
        <w:tc>
          <w:tcPr/>
          <w:p>
            <w:pPr>
              <w:pStyle w:val="Compact"/>
            </w:pPr>
            <w:r>
              <w:t xml:space="preserve">FCF TTM </w:t>
            </w:r>
            <w:r>
              <w:rPr>
                <w:rFonts w:hint="eastAsia"/>
              </w:rPr>
              <w:t xml:space="preserve">自由现金流</w:t>
            </w:r>
          </w:p>
        </w:tc>
        <w:tc>
          <w:tcPr/>
          <w:p>
            <w:pPr>
              <w:pStyle w:val="Compact"/>
            </w:pPr>
            <w:r>
              <w:t xml:space="preserve">3.358e+09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1.602</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0.0519</w:t>
            </w:r>
          </w:p>
        </w:tc>
        <w:tc>
          <w:tcPr/>
          <w:p>
            <w:pPr>
              <w:pStyle w:val="Compact"/>
            </w:pPr>
            <w:r>
              <w:t xml:space="preserve">FRED DGS10 2026-10-14</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0.8356</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0.5012</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0.5012</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0.5455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0.45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PLTR_model_v20261016-0756.xlsx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data/snapshots/20261016-0756</w:t>
      </w:r>
      <w:r>
        <w:t xml:space="preserve"> </w:t>
      </w:r>
      <w:r>
        <w:t xml:space="preserve">(immutable) | Fetched 2026-10-16 07:56 SGT | Generated 2026-10-16 07:57 SGT</w:t>
      </w:r>
    </w:p>
    <w:p>
      <w:pPr>
        <w:pStyle w:val="Compact"/>
        <w:numPr>
          <w:ilvl w:val="0"/>
          <w:numId w:val="1007"/>
        </w:numPr>
      </w:pPr>
      <w:r>
        <w:t xml:space="preserve">Version: v20261016-0756.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v20261016-0756: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PLTR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PLTR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PLTR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PLTR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PLTR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b0bf97ba97f41c8a7fd5512bc2eb57a5823b5f2"/>
    <w:p>
      <w:pPr>
        <w:pStyle w:val="Heading1"/>
      </w:pPr>
      <w:r>
        <w:t xml:space="preserve">PLTR Palantir Technologies Inc. — Equity Deep Dive (Professional English) v20261016-0756</w:t>
      </w:r>
    </w:p>
    <w:p>
      <w:pPr>
        <w:pStyle w:val="BlockText"/>
      </w:pPr>
      <w:r>
        <w:t xml:space="preserve">Data as of 2026-10-16 07:56 SGT | Price $200.50 | Mkt cap 481.8 bn USD | Reporting currency USD | Not investment advice.</w:t>
      </w:r>
    </w:p>
    <w:bookmarkStart w:id="39" w:name="investment-thesis-hypothesis"/>
    <w:p>
      <w:pPr>
        <w:pStyle w:val="Heading2"/>
      </w:pPr>
      <w:r>
        <w:t xml:space="preserve">1. Investment thesis (HYPOTHESIS)</w:t>
      </w:r>
    </w:p>
    <w:p>
      <w:pPr>
        <w:pStyle w:val="FirstParagraph"/>
      </w:pPr>
      <w:r>
        <w:t xml:space="preserve">AIP drives rapid US commercial growth and an extremely high Rule of 40, but the valuation implies decades of high growth and the stock is very sensitive to marginal growth changes.</w:t>
      </w:r>
    </w:p>
    <w:p>
      <w:pPr>
        <w:pStyle w:val="Compact"/>
        <w:numPr>
          <w:ilvl w:val="0"/>
          <w:numId w:val="1009"/>
        </w:numPr>
      </w:pPr>
      <w:r>
        <w:rPr>
          <w:b/>
          <w:bCs/>
        </w:rPr>
        <w:t xml:space="preserve">Bull drivers</w:t>
      </w:r>
      <w:r>
        <w:t xml:space="preserve">: US commercial &gt;60% growth sustained; large gov programs (Maven, Army </w:t>
      </w:r>
      <w:r>
        <w:rPr>
          <w:rFonts w:hint="eastAsia"/>
        </w:rPr>
        <w:t xml:space="preserve">enterprise)｜商业高增长持续；大型政府项目</w:t>
      </w:r>
    </w:p>
    <w:p>
      <w:pPr>
        <w:pStyle w:val="Compact"/>
        <w:numPr>
          <w:ilvl w:val="0"/>
          <w:numId w:val="1009"/>
        </w:numPr>
      </w:pPr>
      <w:r>
        <w:rPr>
          <w:b/>
          <w:bCs/>
        </w:rPr>
        <w:t xml:space="preserve">Bear drivers</w:t>
      </w:r>
      <w:r>
        <w:t xml:space="preserve">: Multiple compression; gov budget delays (shutdown/CR); </w:t>
      </w:r>
      <w:r>
        <w:rPr>
          <w:rFonts w:hint="eastAsia"/>
        </w:rPr>
        <w:t xml:space="preserve">competition｜估值压缩；政府预算延迟；竞争</w:t>
      </w:r>
    </w:p>
    <w:p>
      <w:pPr>
        <w:pStyle w:val="Compact"/>
        <w:numPr>
          <w:ilvl w:val="0"/>
          <w:numId w:val="1009"/>
        </w:numPr>
      </w:pPr>
      <w:r>
        <w:rPr>
          <w:b/>
          <w:bCs/>
        </w:rPr>
        <w:t xml:space="preserve">Falsifiers</w:t>
      </w:r>
      <w:r>
        <w:t xml:space="preserve">: US commercial growth decelerates sharply; net dollar retention falls; RPO </w:t>
      </w:r>
      <w:r>
        <w:rPr>
          <w:rFonts w:hint="eastAsia"/>
        </w:rPr>
        <w:t xml:space="preserve">stalls｜美国商业增速骤降；净留存率下降；RPO停滞</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AI software platform </w:t>
      </w:r>
      <w:r>
        <w:rPr>
          <w:rFonts w:hint="eastAsia"/>
        </w:rPr>
        <w:t xml:space="preserve">AI软件平台</w:t>
      </w:r>
      <w:r>
        <w:t xml:space="preserve"> | Segments: US Government </w:t>
      </w:r>
      <w:r>
        <w:rPr>
          <w:rFonts w:hint="eastAsia"/>
        </w:rPr>
        <w:t xml:space="preserve">美国政府;</w:t>
      </w:r>
      <w:r>
        <w:t xml:space="preserve"> US Commercial </w:t>
      </w:r>
      <w:r>
        <w:rPr>
          <w:rFonts w:hint="eastAsia"/>
        </w:rPr>
        <w:t xml:space="preserve">美国商业;</w:t>
      </w:r>
      <w:r>
        <w:t xml:space="preserve"> International </w:t>
      </w:r>
      <w:r>
        <w:rPr>
          <w:rFonts w:hint="eastAsia"/>
        </w:rPr>
        <w:t xml:space="preserve">国际</w:t>
      </w:r>
    </w:p>
    <w:p>
      <w:pPr>
        <w:pStyle w:val="Compact"/>
        <w:numPr>
          <w:ilvl w:val="0"/>
          <w:numId w:val="1010"/>
        </w:numPr>
      </w:pPr>
      <w:r>
        <w:t xml:space="preserve">Business description (DATA): Palantir Technologies Inc. builds and deploys software platforms for the intelligence community to assist in counterterrorism investigations and operations in the United States, the United Kingdom, and internationally. It provides Palantir Gotham integrates with other platforms for defense offerings which enables users to see, understand, and act in the modern battlespace; operations centers to the tactical edge; integrating data from domains and sensors in near real-time; and situational awareness and accelerating operational decision-making, as well as facilitates the hand-off between analysts and operational users, helping operators plan and execute real-world responses to threats that have been identified within the platform. It also offers Palantir Foundry, a platform that helps organizations operate by creating a central operating system for their data; and allows individual users</w:t>
      </w:r>
    </w:p>
    <w:p>
      <w:pPr>
        <w:pStyle w:val="Compact"/>
        <w:numPr>
          <w:ilvl w:val="0"/>
          <w:numId w:val="1010"/>
        </w:numPr>
      </w:pPr>
      <w:r>
        <w:t xml:space="preserve">Customers: US DoD/intel agencies, NATO allies, US enterprises </w:t>
      </w:r>
      <w:r>
        <w:rPr>
          <w:rFonts w:hint="eastAsia"/>
        </w:rPr>
        <w:t xml:space="preserve">(AIP)｜美国国防/情报、北约、企业(AIP)</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Cloud (AWS, Azure, Oracle), LLM </w:t>
      </w:r>
      <w:r>
        <w:rPr>
          <w:rFonts w:hint="eastAsia"/>
        </w:rPr>
        <w:t xml:space="preserve">providers｜云服务、大模型供应商</w:t>
      </w:r>
    </w:p>
    <w:p>
      <w:pPr>
        <w:pStyle w:val="Compact"/>
        <w:numPr>
          <w:ilvl w:val="0"/>
          <w:numId w:val="1011"/>
        </w:numPr>
      </w:pPr>
      <w:r>
        <w:t xml:space="preserve">Competitors: Snowflake, Databricks, hyperscaler AI stacks, defense primes, </w:t>
      </w:r>
      <w:r>
        <w:rPr>
          <w:rFonts w:hint="eastAsia"/>
        </w:rPr>
        <w:t xml:space="preserve">Anduril｜Snowflake、Databricks、云厂、国防承包商、Anduril</w:t>
      </w:r>
    </w:p>
    <w:p>
      <w:pPr>
        <w:pStyle w:val="Compact"/>
        <w:numPr>
          <w:ilvl w:val="0"/>
          <w:numId w:val="1011"/>
        </w:numPr>
      </w:pPr>
      <w:r>
        <w:t xml:space="preserve">Bottlenecks/regulation: Gov budget/appropriations, forward-deployed engineer </w:t>
      </w:r>
      <w:r>
        <w:rPr>
          <w:rFonts w:hint="eastAsia"/>
        </w:rPr>
        <w:t xml:space="preserve">scaling｜政府预算拨款、驻场工程师扩张</w:t>
      </w:r>
    </w:p>
    <w:p>
      <w:pPr>
        <w:pStyle w:val="Compact"/>
        <w:numPr>
          <w:ilvl w:val="0"/>
          <w:numId w:val="1011"/>
        </w:numPr>
      </w:pPr>
      <w:r>
        <w:t xml:space="preserve">KPIs: US commercial revenue, TCV, RPO, customer count, adj. op </w:t>
      </w:r>
      <w:r>
        <w:rPr>
          <w:rFonts w:hint="eastAsia"/>
        </w:rPr>
        <w:t xml:space="preserve">margin｜美国商业收入、TCV、RPO、客户数、调整后营业利润率</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1.9 bn USD</w:t>
            </w:r>
          </w:p>
        </w:tc>
        <w:tc>
          <w:tcPr/>
          <w:p>
            <w:pPr>
              <w:pStyle w:val="Compact"/>
            </w:pPr>
            <w:r>
              <w:t xml:space="preserve">1.6 bn USD</w:t>
            </w:r>
          </w:p>
        </w:tc>
        <w:tc>
          <w:tcPr/>
          <w:p>
            <w:pPr>
              <w:pStyle w:val="Compact"/>
            </w:pPr>
            <w:r>
              <w:t xml:space="preserve">0.9 bn USD</w:t>
            </w:r>
          </w:p>
        </w:tc>
        <w:tc>
          <w:tcPr/>
          <w:p>
            <w:pPr>
              <w:pStyle w:val="Compact"/>
            </w:pPr>
            <w:r>
              <w:t xml:space="preserve">1.1 bn USD</w:t>
            </w:r>
          </w:p>
        </w:tc>
        <w:tc>
          <w:tcPr/>
          <w:p>
            <w:pPr>
              <w:pStyle w:val="Compact"/>
            </w:pPr>
            <w:r>
              <w:t xml:space="preserve">1.2 bn USD</w:t>
            </w:r>
          </w:p>
        </w:tc>
        <w:tc>
          <w:tcPr/>
          <w:p>
            <w:pPr>
              <w:pStyle w:val="Compact"/>
            </w:pPr>
            <w:r>
              <w:t xml:space="preserve">47.1%</w:t>
            </w:r>
          </w:p>
        </w:tc>
      </w:tr>
      <w:tr>
        <w:tc>
          <w:tcPr/>
          <w:p>
            <w:pPr>
              <w:pStyle w:val="Compact"/>
            </w:pPr>
            <w:r>
              <w:t xml:space="preserve">2026-03-31</w:t>
            </w:r>
          </w:p>
        </w:tc>
        <w:tc>
          <w:tcPr/>
          <w:p>
            <w:pPr>
              <w:pStyle w:val="Compact"/>
            </w:pPr>
            <w:r>
              <w:t xml:space="preserve">1.6 bn USD</w:t>
            </w:r>
          </w:p>
        </w:tc>
        <w:tc>
          <w:tcPr/>
          <w:p>
            <w:pPr>
              <w:pStyle w:val="Compact"/>
            </w:pPr>
            <w:r>
              <w:t xml:space="preserve">1.4 bn USD</w:t>
            </w:r>
          </w:p>
        </w:tc>
        <w:tc>
          <w:tcPr/>
          <w:p>
            <w:pPr>
              <w:pStyle w:val="Compact"/>
            </w:pPr>
            <w:r>
              <w:t xml:space="preserve">0.8 bn USD</w:t>
            </w:r>
          </w:p>
        </w:tc>
        <w:tc>
          <w:tcPr/>
          <w:p>
            <w:pPr>
              <w:pStyle w:val="Compact"/>
            </w:pPr>
            <w:r>
              <w:t xml:space="preserve">0.9 bn USD</w:t>
            </w:r>
          </w:p>
        </w:tc>
        <w:tc>
          <w:tcPr/>
          <w:p>
            <w:pPr>
              <w:pStyle w:val="Compact"/>
            </w:pPr>
            <w:r>
              <w:t xml:space="preserve">0.9 bn USD</w:t>
            </w:r>
          </w:p>
        </w:tc>
        <w:tc>
          <w:tcPr/>
          <w:p>
            <w:pPr>
              <w:pStyle w:val="Compact"/>
            </w:pPr>
            <w:r>
              <w:t xml:space="preserve">46.2%</w:t>
            </w:r>
          </w:p>
        </w:tc>
      </w:tr>
      <w:tr>
        <w:tc>
          <w:tcPr/>
          <w:p>
            <w:pPr>
              <w:pStyle w:val="Compact"/>
            </w:pPr>
            <w:r>
              <w:t xml:space="preserve">2025-12-31</w:t>
            </w:r>
          </w:p>
        </w:tc>
        <w:tc>
          <w:tcPr/>
          <w:p>
            <w:pPr>
              <w:pStyle w:val="Compact"/>
            </w:pPr>
            <w:r>
              <w:t xml:space="preserve">1.4 bn USD</w:t>
            </w:r>
          </w:p>
        </w:tc>
        <w:tc>
          <w:tcPr/>
          <w:p>
            <w:pPr>
              <w:pStyle w:val="Compact"/>
            </w:pPr>
            <w:r>
              <w:t xml:space="preserve">1.2 bn USD</w:t>
            </w:r>
          </w:p>
        </w:tc>
        <w:tc>
          <w:tcPr/>
          <w:p>
            <w:pPr>
              <w:pStyle w:val="Compact"/>
            </w:pPr>
            <w:r>
              <w:t xml:space="preserve">0.6 bn USD</w:t>
            </w:r>
          </w:p>
        </w:tc>
        <w:tc>
          <w:tcPr/>
          <w:p>
            <w:pPr>
              <w:pStyle w:val="Compact"/>
            </w:pPr>
            <w:r>
              <w:t xml:space="preserve">0.6 bn USD</w:t>
            </w:r>
          </w:p>
        </w:tc>
        <w:tc>
          <w:tcPr/>
          <w:p>
            <w:pPr>
              <w:pStyle w:val="Compact"/>
            </w:pPr>
            <w:r>
              <w:t xml:space="preserve">0.8 bn USD</w:t>
            </w:r>
          </w:p>
        </w:tc>
        <w:tc>
          <w:tcPr/>
          <w:p>
            <w:pPr>
              <w:pStyle w:val="Compact"/>
            </w:pPr>
            <w:r>
              <w:t xml:space="preserve">40.9%</w:t>
            </w:r>
          </w:p>
        </w:tc>
      </w:tr>
      <w:tr>
        <w:tc>
          <w:tcPr/>
          <w:p>
            <w:pPr>
              <w:pStyle w:val="Compact"/>
            </w:pPr>
            <w:r>
              <w:t xml:space="preserve">2025-09-30</w:t>
            </w:r>
          </w:p>
        </w:tc>
        <w:tc>
          <w:tcPr/>
          <w:p>
            <w:pPr>
              <w:pStyle w:val="Compact"/>
            </w:pPr>
            <w:r>
              <w:t xml:space="preserve">1.2 bn USD</w:t>
            </w:r>
          </w:p>
        </w:tc>
        <w:tc>
          <w:tcPr/>
          <w:p>
            <w:pPr>
              <w:pStyle w:val="Compact"/>
            </w:pPr>
            <w:r>
              <w:t xml:space="preserve">1.0 bn USD</w:t>
            </w:r>
          </w:p>
        </w:tc>
        <w:tc>
          <w:tcPr/>
          <w:p>
            <w:pPr>
              <w:pStyle w:val="Compact"/>
            </w:pPr>
            <w:r>
              <w:t xml:space="preserve">0.4 bn USD</w:t>
            </w:r>
          </w:p>
        </w:tc>
        <w:tc>
          <w:tcPr/>
          <w:p>
            <w:pPr>
              <w:pStyle w:val="Compact"/>
            </w:pPr>
            <w:r>
              <w:t xml:space="preserve">0.5 bn USD</w:t>
            </w:r>
          </w:p>
        </w:tc>
        <w:tc>
          <w:tcPr/>
          <w:p>
            <w:pPr>
              <w:pStyle w:val="Compact"/>
            </w:pPr>
            <w:r>
              <w:t xml:space="preserve">0.5 bn USD</w:t>
            </w:r>
          </w:p>
        </w:tc>
        <w:tc>
          <w:tcPr/>
          <w:p>
            <w:pPr>
              <w:pStyle w:val="Compact"/>
            </w:pPr>
            <w:r>
              <w:t xml:space="preserve">33.3%</w:t>
            </w:r>
          </w:p>
        </w:tc>
      </w:tr>
      <w:tr>
        <w:tc>
          <w:tcPr/>
          <w:p>
            <w:pPr>
              <w:pStyle w:val="Compact"/>
            </w:pPr>
            <w:r>
              <w:t xml:space="preserve">2025-06-30</w:t>
            </w:r>
          </w:p>
        </w:tc>
        <w:tc>
          <w:tcPr/>
          <w:p>
            <w:pPr>
              <w:pStyle w:val="Compact"/>
            </w:pPr>
            <w:r>
              <w:t xml:space="preserve">1.0 bn USD</w:t>
            </w:r>
          </w:p>
        </w:tc>
        <w:tc>
          <w:tcPr/>
          <w:p>
            <w:pPr>
              <w:pStyle w:val="Compact"/>
            </w:pPr>
            <w:r>
              <w:t xml:space="preserve">0.8 bn USD</w:t>
            </w:r>
          </w:p>
        </w:tc>
        <w:tc>
          <w:tcPr/>
          <w:p>
            <w:pPr>
              <w:pStyle w:val="Compact"/>
            </w:pPr>
            <w:r>
              <w:t xml:space="preserve">0.3 bn USD</w:t>
            </w:r>
          </w:p>
        </w:tc>
        <w:tc>
          <w:tcPr/>
          <w:p>
            <w:pPr>
              <w:pStyle w:val="Compact"/>
            </w:pPr>
            <w:r>
              <w:t xml:space="preserve">0.3 bn USD</w:t>
            </w:r>
          </w:p>
        </w:tc>
        <w:tc>
          <w:tcPr/>
          <w:p>
            <w:pPr>
              <w:pStyle w:val="Compact"/>
            </w:pPr>
            <w:r>
              <w:t xml:space="preserve">0.5 bn USD</w:t>
            </w:r>
          </w:p>
        </w:tc>
        <w:tc>
          <w:tcPr/>
          <w:p>
            <w:pPr>
              <w:pStyle w:val="Compact"/>
            </w:pPr>
            <w:r>
              <w:t xml:space="preserve">26.8%</w:t>
            </w:r>
          </w:p>
        </w:tc>
      </w:tr>
    </w:tbl>
    <w:p>
      <w:pPr>
        <w:pStyle w:val="BodyText"/>
      </w:pPr>
      <w:r>
        <w:t xml:space="preserve">Cash 9.4 bn USD; debt 0.2 bn USD; TTM FCF 3.4 bn USD (FCF margin 54.6%).</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0.21</w:t>
            </w:r>
          </w:p>
        </w:tc>
        <w:tc>
          <w:tcPr/>
          <w:p>
            <w:pPr>
              <w:pStyle w:val="Compact"/>
            </w:pPr>
            <w:r>
              <w:t xml:space="preserve">0.16738</w:t>
            </w:r>
          </w:p>
        </w:tc>
        <w:tc>
          <w:tcPr/>
          <w:p>
            <w:pPr>
              <w:pStyle w:val="Compact"/>
            </w:pPr>
            <w:r>
              <w:t xml:space="preserve">0.2546</w:t>
            </w:r>
          </w:p>
        </w:tc>
      </w:tr>
      <w:tr>
        <w:tc>
          <w:tcPr/>
          <w:p>
            <w:pPr>
              <w:pStyle w:val="Compact"/>
            </w:pPr>
            <w:r>
              <w:t xml:space="preserve">2025-12-31</w:t>
            </w:r>
          </w:p>
        </w:tc>
        <w:tc>
          <w:tcPr/>
          <w:p>
            <w:pPr>
              <w:pStyle w:val="Compact"/>
            </w:pPr>
            <w:r>
              <w:t xml:space="preserve">0.25</w:t>
            </w:r>
          </w:p>
        </w:tc>
        <w:tc>
          <w:tcPr/>
          <w:p>
            <w:pPr>
              <w:pStyle w:val="Compact"/>
            </w:pPr>
            <w:r>
              <w:t xml:space="preserve">0.2302</w:t>
            </w:r>
          </w:p>
        </w:tc>
        <w:tc>
          <w:tcPr/>
          <w:p>
            <w:pPr>
              <w:pStyle w:val="Compact"/>
            </w:pPr>
            <w:r>
              <w:t xml:space="preserve">0.086</w:t>
            </w:r>
          </w:p>
        </w:tc>
      </w:tr>
      <w:tr>
        <w:tc>
          <w:tcPr/>
          <w:p>
            <w:pPr>
              <w:pStyle w:val="Compact"/>
            </w:pPr>
            <w:r>
              <w:t xml:space="preserve">2026-03-31</w:t>
            </w:r>
          </w:p>
        </w:tc>
        <w:tc>
          <w:tcPr/>
          <w:p>
            <w:pPr>
              <w:pStyle w:val="Compact"/>
            </w:pPr>
            <w:r>
              <w:t xml:space="preserve">0.33</w:t>
            </w:r>
          </w:p>
        </w:tc>
        <w:tc>
          <w:tcPr/>
          <w:p>
            <w:pPr>
              <w:pStyle w:val="Compact"/>
            </w:pPr>
            <w:r>
              <w:t xml:space="preserve">0.27946</w:t>
            </w:r>
          </w:p>
        </w:tc>
        <w:tc>
          <w:tcPr/>
          <w:p>
            <w:pPr>
              <w:pStyle w:val="Compact"/>
            </w:pPr>
            <w:r>
              <w:t xml:space="preserve">0.1808</w:t>
            </w:r>
          </w:p>
        </w:tc>
      </w:tr>
      <w:tr>
        <w:tc>
          <w:tcPr/>
          <w:p>
            <w:pPr>
              <w:pStyle w:val="Compact"/>
            </w:pPr>
            <w:r>
              <w:t xml:space="preserve">2026-06-30</w:t>
            </w:r>
          </w:p>
        </w:tc>
        <w:tc>
          <w:tcPr/>
          <w:p>
            <w:pPr>
              <w:pStyle w:val="Compact"/>
            </w:pPr>
            <w:r>
              <w:t xml:space="preserve">0.41</w:t>
            </w:r>
          </w:p>
        </w:tc>
        <w:tc>
          <w:tcPr/>
          <w:p>
            <w:pPr>
              <w:pStyle w:val="Compact"/>
            </w:pPr>
            <w:r>
              <w:t xml:space="preserve">0.34596</w:t>
            </w:r>
          </w:p>
        </w:tc>
        <w:tc>
          <w:tcPr/>
          <w:p>
            <w:pPr>
              <w:pStyle w:val="Compact"/>
            </w:pPr>
            <w:r>
              <w:t xml:space="preserve">0.1851</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2026-11-03</w:t>
      </w:r>
      <w:r>
        <w:t xml:space="preserve">; current-quarter EPS consensus 0.41222 (24 analysts); revenue consensus 2.2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$28.22</w:t>
            </w:r>
          </w:p>
        </w:tc>
        <w:tc>
          <w:tcPr/>
          <w:p>
            <w:pPr>
              <w:pStyle w:val="Compact"/>
            </w:pPr>
            <w:r>
              <w:t xml:space="preserve">-85.9%</w:t>
            </w:r>
          </w:p>
        </w:tc>
      </w:tr>
      <w:tr>
        <w:tc>
          <w:tcPr/>
          <w:p>
            <w:pPr>
              <w:pStyle w:val="Compact"/>
            </w:pPr>
            <w:r>
              <w:t xml:space="preserve">2Q</w:t>
            </w:r>
          </w:p>
        </w:tc>
        <w:tc>
          <w:tcPr/>
          <w:p>
            <w:pPr>
              <w:pStyle w:val="Compact"/>
            </w:pPr>
            <w:r>
              <w:t xml:space="preserve">Base</w:t>
            </w:r>
          </w:p>
        </w:tc>
        <w:tc>
          <w:tcPr/>
          <w:p>
            <w:pPr>
              <w:pStyle w:val="Compact"/>
            </w:pPr>
            <w:r>
              <w:t xml:space="preserve">$60.83</w:t>
            </w:r>
          </w:p>
        </w:tc>
        <w:tc>
          <w:tcPr/>
          <w:p>
            <w:pPr>
              <w:pStyle w:val="Compact"/>
            </w:pPr>
            <w:r>
              <w:t xml:space="preserve">-69.7%</w:t>
            </w:r>
          </w:p>
        </w:tc>
      </w:tr>
      <w:tr>
        <w:tc>
          <w:tcPr/>
          <w:p>
            <w:pPr>
              <w:pStyle w:val="Compact"/>
            </w:pPr>
            <w:r>
              <w:t xml:space="preserve">2Q</w:t>
            </w:r>
          </w:p>
        </w:tc>
        <w:tc>
          <w:tcPr/>
          <w:p>
            <w:pPr>
              <w:pStyle w:val="Compact"/>
            </w:pPr>
            <w:r>
              <w:t xml:space="preserve">Bull</w:t>
            </w:r>
          </w:p>
        </w:tc>
        <w:tc>
          <w:tcPr/>
          <w:p>
            <w:pPr>
              <w:pStyle w:val="Compact"/>
            </w:pPr>
            <w:r>
              <w:t xml:space="preserve">$99.89</w:t>
            </w:r>
          </w:p>
        </w:tc>
        <w:tc>
          <w:tcPr/>
          <w:p>
            <w:pPr>
              <w:pStyle w:val="Compact"/>
            </w:pPr>
            <w:r>
              <w:t xml:space="preserve">-50.2%</w:t>
            </w:r>
          </w:p>
        </w:tc>
      </w:tr>
      <w:tr>
        <w:tc>
          <w:tcPr/>
          <w:p>
            <w:pPr>
              <w:pStyle w:val="Compact"/>
            </w:pPr>
            <w:r>
              <w:t xml:space="preserve">4Q</w:t>
            </w:r>
          </w:p>
        </w:tc>
        <w:tc>
          <w:tcPr/>
          <w:p>
            <w:pPr>
              <w:pStyle w:val="Compact"/>
            </w:pPr>
            <w:r>
              <w:t xml:space="preserve">Bear</w:t>
            </w:r>
          </w:p>
        </w:tc>
        <w:tc>
          <w:tcPr/>
          <w:p>
            <w:pPr>
              <w:pStyle w:val="Compact"/>
            </w:pPr>
            <w:r>
              <w:t xml:space="preserve">$28.16</w:t>
            </w:r>
          </w:p>
        </w:tc>
        <w:tc>
          <w:tcPr/>
          <w:p>
            <w:pPr>
              <w:pStyle w:val="Compact"/>
            </w:pPr>
            <w:r>
              <w:t xml:space="preserve">-86.0%</w:t>
            </w:r>
          </w:p>
        </w:tc>
      </w:tr>
      <w:tr>
        <w:tc>
          <w:tcPr/>
          <w:p>
            <w:pPr>
              <w:pStyle w:val="Compact"/>
            </w:pPr>
            <w:r>
              <w:t xml:space="preserve">4Q</w:t>
            </w:r>
          </w:p>
        </w:tc>
        <w:tc>
          <w:tcPr/>
          <w:p>
            <w:pPr>
              <w:pStyle w:val="Compact"/>
            </w:pPr>
            <w:r>
              <w:t xml:space="preserve">Base</w:t>
            </w:r>
          </w:p>
        </w:tc>
        <w:tc>
          <w:tcPr/>
          <w:p>
            <w:pPr>
              <w:pStyle w:val="Compact"/>
            </w:pPr>
            <w:r>
              <w:t xml:space="preserve">$68.07</w:t>
            </w:r>
          </w:p>
        </w:tc>
        <w:tc>
          <w:tcPr/>
          <w:p>
            <w:pPr>
              <w:pStyle w:val="Compact"/>
            </w:pPr>
            <w:r>
              <w:t xml:space="preserve">-66.1%</w:t>
            </w:r>
          </w:p>
        </w:tc>
      </w:tr>
      <w:tr>
        <w:tc>
          <w:tcPr/>
          <w:p>
            <w:pPr>
              <w:pStyle w:val="Compact"/>
            </w:pPr>
            <w:r>
              <w:t xml:space="preserve">4Q</w:t>
            </w:r>
          </w:p>
        </w:tc>
        <w:tc>
          <w:tcPr/>
          <w:p>
            <w:pPr>
              <w:pStyle w:val="Compact"/>
            </w:pPr>
            <w:r>
              <w:t xml:space="preserve">Bull</w:t>
            </w:r>
          </w:p>
        </w:tc>
        <w:tc>
          <w:tcPr/>
          <w:p>
            <w:pPr>
              <w:pStyle w:val="Compact"/>
            </w:pPr>
            <w:r>
              <w:t xml:space="preserve">$119.36</w:t>
            </w:r>
          </w:p>
        </w:tc>
        <w:tc>
          <w:tcPr/>
          <w:p>
            <w:pPr>
              <w:pStyle w:val="Compact"/>
            </w:pPr>
            <w:r>
              <w:t xml:space="preserve">-40.5%</w:t>
            </w:r>
          </w:p>
        </w:tc>
      </w:tr>
      <w:tr>
        <w:tc>
          <w:tcPr/>
          <w:p>
            <w:pPr>
              <w:pStyle w:val="Compact"/>
            </w:pPr>
            <w:r>
              <w:t xml:space="preserve">6Q</w:t>
            </w:r>
          </w:p>
        </w:tc>
        <w:tc>
          <w:tcPr/>
          <w:p>
            <w:pPr>
              <w:pStyle w:val="Compact"/>
            </w:pPr>
            <w:r>
              <w:t xml:space="preserve">Bear</w:t>
            </w:r>
          </w:p>
        </w:tc>
        <w:tc>
          <w:tcPr/>
          <w:p>
            <w:pPr>
              <w:pStyle w:val="Compact"/>
            </w:pPr>
            <w:r>
              <w:t xml:space="preserve">$28.07</w:t>
            </w:r>
          </w:p>
        </w:tc>
        <w:tc>
          <w:tcPr/>
          <w:p>
            <w:pPr>
              <w:pStyle w:val="Compact"/>
            </w:pPr>
            <w:r>
              <w:t xml:space="preserve">-86.0%</w:t>
            </w:r>
          </w:p>
        </w:tc>
      </w:tr>
      <w:tr>
        <w:tc>
          <w:tcPr/>
          <w:p>
            <w:pPr>
              <w:pStyle w:val="Compact"/>
            </w:pPr>
            <w:r>
              <w:t xml:space="preserve">6Q</w:t>
            </w:r>
          </w:p>
        </w:tc>
        <w:tc>
          <w:tcPr/>
          <w:p>
            <w:pPr>
              <w:pStyle w:val="Compact"/>
            </w:pPr>
            <w:r>
              <w:t xml:space="preserve">Base</w:t>
            </w:r>
          </w:p>
        </w:tc>
        <w:tc>
          <w:tcPr/>
          <w:p>
            <w:pPr>
              <w:pStyle w:val="Compact"/>
            </w:pPr>
            <w:r>
              <w:t xml:space="preserve">$76.27</w:t>
            </w:r>
          </w:p>
        </w:tc>
        <w:tc>
          <w:tcPr/>
          <w:p>
            <w:pPr>
              <w:pStyle w:val="Compact"/>
            </w:pPr>
            <w:r>
              <w:t xml:space="preserve">-62.0%</w:t>
            </w:r>
          </w:p>
        </w:tc>
      </w:tr>
      <w:tr>
        <w:tc>
          <w:tcPr/>
          <w:p>
            <w:pPr>
              <w:pStyle w:val="Compact"/>
            </w:pPr>
            <w:r>
              <w:t xml:space="preserve">6Q</w:t>
            </w:r>
          </w:p>
        </w:tc>
        <w:tc>
          <w:tcPr/>
          <w:p>
            <w:pPr>
              <w:pStyle w:val="Compact"/>
            </w:pPr>
            <w:r>
              <w:t xml:space="preserve">Bull</w:t>
            </w:r>
          </w:p>
        </w:tc>
        <w:tc>
          <w:tcPr/>
          <w:p>
            <w:pPr>
              <w:pStyle w:val="Compact"/>
            </w:pPr>
            <w:r>
              <w:t xml:space="preserve">$142.84</w:t>
            </w:r>
          </w:p>
        </w:tc>
        <w:tc>
          <w:tcPr/>
          <w:p>
            <w:pPr>
              <w:pStyle w:val="Compact"/>
            </w:pPr>
            <w:r>
              <w:t xml:space="preserve">-28.8%</w:t>
            </w:r>
          </w:p>
        </w:tc>
      </w:tr>
      <w:tr>
        <w:tc>
          <w:tcPr/>
          <w:p>
            <w:pPr>
              <w:pStyle w:val="Compact"/>
            </w:pPr>
            <w:r>
              <w:t xml:space="preserve">8Q</w:t>
            </w:r>
          </w:p>
        </w:tc>
        <w:tc>
          <w:tcPr/>
          <w:p>
            <w:pPr>
              <w:pStyle w:val="Compact"/>
            </w:pPr>
            <w:r>
              <w:t xml:space="preserve">Bear</w:t>
            </w:r>
          </w:p>
        </w:tc>
        <w:tc>
          <w:tcPr/>
          <w:p>
            <w:pPr>
              <w:pStyle w:val="Compact"/>
            </w:pPr>
            <w:r>
              <w:t xml:space="preserve">$27.96</w:t>
            </w:r>
          </w:p>
        </w:tc>
        <w:tc>
          <w:tcPr/>
          <w:p>
            <w:pPr>
              <w:pStyle w:val="Compact"/>
            </w:pPr>
            <w:r>
              <w:t xml:space="preserve">-86.1%</w:t>
            </w:r>
          </w:p>
        </w:tc>
      </w:tr>
      <w:tr>
        <w:tc>
          <w:tcPr/>
          <w:p>
            <w:pPr>
              <w:pStyle w:val="Compact"/>
            </w:pPr>
            <w:r>
              <w:t xml:space="preserve">8Q</w:t>
            </w:r>
          </w:p>
        </w:tc>
        <w:tc>
          <w:tcPr/>
          <w:p>
            <w:pPr>
              <w:pStyle w:val="Compact"/>
            </w:pPr>
            <w:r>
              <w:t xml:space="preserve">Base</w:t>
            </w:r>
          </w:p>
        </w:tc>
        <w:tc>
          <w:tcPr/>
          <w:p>
            <w:pPr>
              <w:pStyle w:val="Compact"/>
            </w:pPr>
            <w:r>
              <w:t xml:space="preserve">$85.55</w:t>
            </w:r>
          </w:p>
        </w:tc>
        <w:tc>
          <w:tcPr/>
          <w:p>
            <w:pPr>
              <w:pStyle w:val="Compact"/>
            </w:pPr>
            <w:r>
              <w:t xml:space="preserve">-57.3%</w:t>
            </w:r>
          </w:p>
        </w:tc>
      </w:tr>
      <w:tr>
        <w:tc>
          <w:tcPr/>
          <w:p>
            <w:pPr>
              <w:pStyle w:val="Compact"/>
            </w:pPr>
            <w:r>
              <w:t xml:space="preserve">8Q</w:t>
            </w:r>
          </w:p>
        </w:tc>
        <w:tc>
          <w:tcPr/>
          <w:p>
            <w:pPr>
              <w:pStyle w:val="Compact"/>
            </w:pPr>
            <w:r>
              <w:t xml:space="preserve">Bull</w:t>
            </w:r>
          </w:p>
        </w:tc>
        <w:tc>
          <w:tcPr/>
          <w:p>
            <w:pPr>
              <w:pStyle w:val="Compact"/>
            </w:pPr>
            <w:r>
              <w:t xml:space="preserve">$171.18</w:t>
            </w:r>
          </w:p>
        </w:tc>
        <w:tc>
          <w:tcPr/>
          <w:p>
            <w:pPr>
              <w:pStyle w:val="Compact"/>
            </w:pPr>
            <w:r>
              <w:t xml:space="preserve">-14.6%</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80.8x</w:t>
            </w:r>
          </w:p>
        </w:tc>
      </w:tr>
      <w:tr>
        <w:tc>
          <w:tcPr/>
          <w:p>
            <w:pPr>
              <w:pStyle w:val="Compact"/>
            </w:pPr>
            <w:r>
              <w:t xml:space="preserve">4Q</w:t>
            </w:r>
          </w:p>
        </w:tc>
        <w:tc>
          <w:tcPr/>
          <w:p>
            <w:pPr>
              <w:pStyle w:val="Compact"/>
            </w:pPr>
            <w:r>
              <w:t xml:space="preserve">67.2x</w:t>
            </w:r>
          </w:p>
        </w:tc>
      </w:tr>
      <w:tr>
        <w:tc>
          <w:tcPr/>
          <w:p>
            <w:pPr>
              <w:pStyle w:val="Compact"/>
            </w:pPr>
            <w:r>
              <w:t xml:space="preserve">6Q</w:t>
            </w:r>
          </w:p>
        </w:tc>
        <w:tc>
          <w:tcPr/>
          <w:p>
            <w:pPr>
              <w:pStyle w:val="Compact"/>
            </w:pPr>
            <w:r>
              <w:t xml:space="preserve">55.9x</w:t>
            </w:r>
          </w:p>
        </w:tc>
      </w:tr>
      <w:tr>
        <w:tc>
          <w:tcPr/>
          <w:p>
            <w:pPr>
              <w:pStyle w:val="Compact"/>
            </w:pPr>
            <w:r>
              <w:t xml:space="preserve">8Q</w:t>
            </w:r>
          </w:p>
        </w:tc>
        <w:tc>
          <w:tcPr/>
          <w:p>
            <w:pPr>
              <w:pStyle w:val="Compact"/>
            </w:pPr>
            <w:r>
              <w:t xml:space="preserve">46.5x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25.1%</w:t>
            </w:r>
          </w:p>
        </w:tc>
        <w:tc>
          <w:tcPr/>
          <w:p>
            <w:pPr>
              <w:pStyle w:val="Compact"/>
            </w:pPr>
            <w:r>
              <w:t xml:space="preserve">36.0%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$23.35</w:t>
            </w:r>
          </w:p>
        </w:tc>
        <w:tc>
          <w:tcPr/>
          <w:p>
            <w:pPr>
              <w:pStyle w:val="Compact"/>
            </w:pPr>
            <w:r>
              <w:t xml:space="preserve">-88.4%</w:t>
            </w:r>
          </w:p>
        </w:tc>
      </w:tr>
      <w:tr>
        <w:tc>
          <w:tcPr/>
          <w:p>
            <w:pPr>
              <w:pStyle w:val="Compact"/>
            </w:pPr>
            <w:r>
              <w:t xml:space="preserve">Base</w:t>
            </w:r>
          </w:p>
        </w:tc>
        <w:tc>
          <w:tcPr/>
          <w:p>
            <w:pPr>
              <w:pStyle w:val="Compact"/>
            </w:pPr>
            <w:r>
              <w:t xml:space="preserve">50.1%</w:t>
            </w:r>
          </w:p>
        </w:tc>
        <w:tc>
          <w:tcPr/>
          <w:p>
            <w:pPr>
              <w:pStyle w:val="Compact"/>
            </w:pPr>
            <w:r>
              <w:t xml:space="preserve">45.0%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$67.82</w:t>
            </w:r>
          </w:p>
        </w:tc>
        <w:tc>
          <w:tcPr/>
          <w:p>
            <w:pPr>
              <w:pStyle w:val="Compact"/>
            </w:pPr>
            <w:r>
              <w:t xml:space="preserve">-66.2%</w:t>
            </w:r>
          </w:p>
        </w:tc>
      </w:tr>
      <w:tr>
        <w:tc>
          <w:tcPr/>
          <w:p>
            <w:pPr>
              <w:pStyle w:val="Compact"/>
            </w:pPr>
            <w:r>
              <w:t xml:space="preserve">Bull</w:t>
            </w:r>
          </w:p>
        </w:tc>
        <w:tc>
          <w:tcPr/>
          <w:p>
            <w:pPr>
              <w:pStyle w:val="Compact"/>
            </w:pPr>
            <w:r>
              <w:t xml:space="preserve">65.2%</w:t>
            </w:r>
          </w:p>
        </w:tc>
        <w:tc>
          <w:tcPr/>
          <w:p>
            <w:pPr>
              <w:pStyle w:val="Compact"/>
            </w:pPr>
            <w:r>
              <w:t xml:space="preserve">51.7%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$136.51</w:t>
            </w:r>
          </w:p>
        </w:tc>
        <w:tc>
          <w:tcPr/>
          <w:p>
            <w:pPr>
              <w:pStyle w:val="Compact"/>
            </w:pPr>
            <w:r>
              <w:t xml:space="preserve">-31.9%</w:t>
            </w:r>
          </w:p>
        </w:tc>
      </w:tr>
    </w:tbl>
    <w:p>
      <w:pPr>
        <w:pStyle w:val="BodyText"/>
      </w:pPr>
      <w:r>
        <w:t xml:space="preserve">Probability-weighted value</w:t>
      </w:r>
      <w:r>
        <w:t xml:space="preserve"> </w:t>
      </w:r>
      <w:r>
        <w:rPr>
          <w:b/>
          <w:bCs/>
        </w:rPr>
        <w:t xml:space="preserve">$73.88</w:t>
      </w:r>
      <w:r>
        <w:t xml:space="preserve"> </w:t>
      </w:r>
      <w:r>
        <w:t xml:space="preserve">(-63.2%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153.8 bn USD; terminal share 51.8%.</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86.4%</w:t>
      </w:r>
      <w:r>
        <w:t xml:space="preserve"> </w:t>
      </w:r>
      <w:r>
        <w:t xml:space="preserve">vs consensus FY+1 50.1%.</w:t>
      </w:r>
    </w:p>
    <w:p>
      <w:pPr>
        <w:pStyle w:val="Compact"/>
        <w:numPr>
          <w:ilvl w:val="0"/>
          <w:numId w:val="1013"/>
        </w:numPr>
      </w:pPr>
      <w:r>
        <w:t xml:space="preserve">WACC (CAPM) = rf 5.2% + β 1.60 × ERP 5.0% = 13.2%.</w:t>
      </w:r>
    </w:p>
    <w:p>
      <w:pPr>
        <w:pStyle w:val="Compact"/>
        <w:numPr>
          <w:ilvl w:val="0"/>
          <w:numId w:val="1013"/>
        </w:numPr>
      </w:pPr>
      <w:r>
        <w:t xml:space="preserve">SOTP segments: US Government </w:t>
      </w:r>
      <w:r>
        <w:rPr>
          <w:rFonts w:hint="eastAsia"/>
        </w:rPr>
        <w:t xml:space="preserve">美国政府;</w:t>
      </w:r>
      <w:r>
        <w:t xml:space="preserve"> US Commercial </w:t>
      </w:r>
      <w:r>
        <w:rPr>
          <w:rFonts w:hint="eastAsia"/>
        </w:rPr>
        <w:t xml:space="preserve">美国商业;</w:t>
      </w:r>
      <w:r>
        <w:t xml:space="preserve"> International </w:t>
      </w:r>
      <w:r>
        <w:rPr>
          <w:rFonts w:hint="eastAsia"/>
        </w:rPr>
        <w:t xml:space="preserve">国际</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Multiple compression; gov budget delays (shutdown/CR); </w:t>
      </w:r>
      <w:r>
        <w:rPr>
          <w:rFonts w:hint="eastAsia"/>
        </w:rPr>
        <w:t xml:space="preserve">competition｜估值压缩；政府预算延迟；竞争</w:t>
      </w:r>
      <w:r>
        <w:t xml:space="preserve"> | Falsifiers: US commercial growth decelerates sharply; net dollar retention falls; RPO </w:t>
      </w:r>
      <w:r>
        <w:rPr>
          <w:rFonts w:hint="eastAsia"/>
        </w:rPr>
        <w:t xml:space="preserve">stalls｜美国商业增速骤降；净留存率下降；RPO停滞</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PLTR_model_v20261016-0756.xlsx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data/snapshots/20261016-0756</w:t>
      </w:r>
      <w:r>
        <w:t xml:space="preserve"> </w:t>
      </w:r>
      <w:r>
        <w:t xml:space="preserve">(immutable) | Fetched 2026-10-16 07:56 SGT | Generated 2026-10-16 07:57 SGT</w:t>
      </w:r>
      <w:r>
        <w:t xml:space="preserve"> </w:t>
      </w:r>
      <w:r>
        <w:t xml:space="preserve">- Version: v20261016-0756.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2026-10-15T23:58:41Z</dcterms:created>
  <dcterms:modified xsi:type="dcterms:W3CDTF">2026-10-15T23:58:41Z</dcterms:modified>
</cp:coreProperties>
</file>

<file path=docProps/custom.xml><?xml version="1.0" encoding="utf-8"?>
<Properties xmlns="http://schemas.openxmlformats.org/officeDocument/2006/custom-properties" xmlns:vt="http://schemas.openxmlformats.org/officeDocument/2006/docPropsVTypes"/>
</file>