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b9d6aa8b6910ebb2be8a4fe8627a1faaf597fe"/>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$55.25｜市值</w:t>
      </w:r>
      <w:r>
        <w:t xml:space="preserve"> 35.3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-0.06464（11位分析师）；收入一致预期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$-3.56</w:t>
            </w:r>
          </w:p>
        </w:tc>
        <w:tc>
          <w:tcPr/>
          <w:p>
            <w:pPr>
              <w:pStyle w:val="Compact"/>
            </w:pPr>
            <w:r>
              <w:t xml:space="preserve">-106.4%</w:t>
            </w:r>
          </w:p>
        </w:tc>
      </w:tr>
      <w:tr>
        <w:tc>
          <w:tcPr/>
          <w:p>
            <w:pPr>
              <w:pStyle w:val="Compact"/>
            </w:pPr>
            <w:r>
              <w:t xml:space="preserve">2Q</w:t>
            </w:r>
          </w:p>
        </w:tc>
        <w:tc>
          <w:tcPr/>
          <w:p>
            <w:pPr>
              <w:pStyle w:val="Compact"/>
            </w:pPr>
            <w:r>
              <w:t xml:space="preserve">Base</w:t>
            </w:r>
          </w:p>
        </w:tc>
        <w:tc>
          <w:tcPr/>
          <w:p>
            <w:pPr>
              <w:pStyle w:val="Compact"/>
            </w:pPr>
            <w:r>
              <w:t xml:space="preserve">$-10.64</w:t>
            </w:r>
          </w:p>
        </w:tc>
        <w:tc>
          <w:tcPr/>
          <w:p>
            <w:pPr>
              <w:pStyle w:val="Compact"/>
            </w:pPr>
            <w:r>
              <w:t xml:space="preserve">-119.3%</w:t>
            </w:r>
          </w:p>
        </w:tc>
      </w:tr>
      <w:tr>
        <w:tc>
          <w:tcPr/>
          <w:p>
            <w:pPr>
              <w:pStyle w:val="Compact"/>
            </w:pPr>
            <w:r>
              <w:t xml:space="preserve">2Q</w:t>
            </w:r>
          </w:p>
        </w:tc>
        <w:tc>
          <w:tcPr/>
          <w:p>
            <w:pPr>
              <w:pStyle w:val="Compact"/>
            </w:pPr>
            <w:r>
              <w:t xml:space="preserve">Bull</w:t>
            </w:r>
          </w:p>
        </w:tc>
        <w:tc>
          <w:tcPr/>
          <w:p>
            <w:pPr>
              <w:pStyle w:val="Compact"/>
            </w:pPr>
            <w:r>
              <w:t xml:space="preserve">$-18.29</w:t>
            </w:r>
          </w:p>
        </w:tc>
        <w:tc>
          <w:tcPr/>
          <w:p>
            <w:pPr>
              <w:pStyle w:val="Compact"/>
            </w:pPr>
            <w:r>
              <w:t xml:space="preserve">-133.1%</w:t>
            </w:r>
          </w:p>
        </w:tc>
      </w:tr>
      <w:tr>
        <w:tc>
          <w:tcPr/>
          <w:p>
            <w:pPr>
              <w:pStyle w:val="Compact"/>
            </w:pPr>
            <w:r>
              <w:t xml:space="preserve">4Q</w:t>
            </w:r>
          </w:p>
        </w:tc>
        <w:tc>
          <w:tcPr/>
          <w:p>
            <w:pPr>
              <w:pStyle w:val="Compact"/>
            </w:pPr>
            <w:r>
              <w:t xml:space="preserve">Bear</w:t>
            </w:r>
          </w:p>
        </w:tc>
        <w:tc>
          <w:tcPr/>
          <w:p>
            <w:pPr>
              <w:pStyle w:val="Compact"/>
            </w:pPr>
            <w:r>
              <w:t xml:space="preserve">$-2.56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$-9.10</w:t>
            </w:r>
          </w:p>
        </w:tc>
        <w:tc>
          <w:tcPr/>
          <w:p>
            <w:pPr>
              <w:pStyle w:val="Compact"/>
            </w:pPr>
            <w:r>
              <w:t xml:space="preserve">-116.5%</w:t>
            </w:r>
          </w:p>
        </w:tc>
      </w:tr>
      <w:tr>
        <w:tc>
          <w:tcPr/>
          <w:p>
            <w:pPr>
              <w:pStyle w:val="Compact"/>
            </w:pPr>
            <w:r>
              <w:t xml:space="preserve">4Q</w:t>
            </w:r>
          </w:p>
        </w:tc>
        <w:tc>
          <w:tcPr/>
          <w:p>
            <w:pPr>
              <w:pStyle w:val="Compact"/>
            </w:pPr>
            <w:r>
              <w:t xml:space="preserve">Bull</w:t>
            </w:r>
          </w:p>
        </w:tc>
        <w:tc>
          <w:tcPr/>
          <w:p>
            <w:pPr>
              <w:pStyle w:val="Compact"/>
            </w:pPr>
            <w:r>
              <w:t xml:space="preserve">$-16.30</w:t>
            </w:r>
          </w:p>
        </w:tc>
        <w:tc>
          <w:tcPr/>
          <w:p>
            <w:pPr>
              <w:pStyle w:val="Compact"/>
            </w:pPr>
            <w:r>
              <w:t xml:space="preserve">-129.5%</w:t>
            </w:r>
          </w:p>
        </w:tc>
      </w:tr>
      <w:tr>
        <w:tc>
          <w:tcPr/>
          <w:p>
            <w:pPr>
              <w:pStyle w:val="Compact"/>
            </w:pPr>
            <w:r>
              <w:t xml:space="preserve">6Q</w:t>
            </w:r>
          </w:p>
        </w:tc>
        <w:tc>
          <w:tcPr/>
          <w:p>
            <w:pPr>
              <w:pStyle w:val="Compact"/>
            </w:pPr>
            <w:r>
              <w:t xml:space="preserve">Bear</w:t>
            </w:r>
          </w:p>
        </w:tc>
        <w:tc>
          <w:tcPr/>
          <w:p>
            <w:pPr>
              <w:pStyle w:val="Compact"/>
            </w:pPr>
            <w:r>
              <w:t xml:space="preserve">$-1.49</w:t>
            </w:r>
          </w:p>
        </w:tc>
        <w:tc>
          <w:tcPr/>
          <w:p>
            <w:pPr>
              <w:pStyle w:val="Compact"/>
            </w:pPr>
            <w:r>
              <w:t xml:space="preserve">-102.7%</w:t>
            </w:r>
          </w:p>
        </w:tc>
      </w:tr>
      <w:tr>
        <w:tc>
          <w:tcPr/>
          <w:p>
            <w:pPr>
              <w:pStyle w:val="Compact"/>
            </w:pPr>
            <w:r>
              <w:t xml:space="preserve">6Q</w:t>
            </w:r>
          </w:p>
        </w:tc>
        <w:tc>
          <w:tcPr/>
          <w:p>
            <w:pPr>
              <w:pStyle w:val="Compact"/>
            </w:pPr>
            <w:r>
              <w:t xml:space="preserve">Base</w:t>
            </w:r>
          </w:p>
        </w:tc>
        <w:tc>
          <w:tcPr/>
          <w:p>
            <w:pPr>
              <w:pStyle w:val="Compact"/>
            </w:pPr>
            <w:r>
              <w:t xml:space="preserve">$-6.96</w:t>
            </w:r>
          </w:p>
        </w:tc>
        <w:tc>
          <w:tcPr/>
          <w:p>
            <w:pPr>
              <w:pStyle w:val="Compact"/>
            </w:pPr>
            <w:r>
              <w:t xml:space="preserve">-112.6%</w:t>
            </w:r>
          </w:p>
        </w:tc>
      </w:tr>
      <w:tr>
        <w:tc>
          <w:tcPr/>
          <w:p>
            <w:pPr>
              <w:pStyle w:val="Compact"/>
            </w:pPr>
            <w:r>
              <w:t xml:space="preserve">6Q</w:t>
            </w:r>
          </w:p>
        </w:tc>
        <w:tc>
          <w:tcPr/>
          <w:p>
            <w:pPr>
              <w:pStyle w:val="Compact"/>
            </w:pPr>
            <w:r>
              <w:t xml:space="preserve">Bull</w:t>
            </w:r>
          </w:p>
        </w:tc>
        <w:tc>
          <w:tcPr/>
          <w:p>
            <w:pPr>
              <w:pStyle w:val="Compact"/>
            </w:pPr>
            <w:r>
              <w:t xml:space="preserve">$-12.98</w:t>
            </w:r>
          </w:p>
        </w:tc>
        <w:tc>
          <w:tcPr/>
          <w:p>
            <w:pPr>
              <w:pStyle w:val="Compact"/>
            </w:pPr>
            <w:r>
              <w:t xml:space="preserve">-123.5%</w:t>
            </w:r>
          </w:p>
        </w:tc>
      </w:tr>
      <w:tr>
        <w:tc>
          <w:tcPr/>
          <w:p>
            <w:pPr>
              <w:pStyle w:val="Compact"/>
            </w:pPr>
            <w:r>
              <w:t xml:space="preserve">8Q</w:t>
            </w:r>
          </w:p>
        </w:tc>
        <w:tc>
          <w:tcPr/>
          <w:p>
            <w:pPr>
              <w:pStyle w:val="Compact"/>
            </w:pPr>
            <w:r>
              <w:t xml:space="preserve">Bear</w:t>
            </w:r>
          </w:p>
        </w:tc>
        <w:tc>
          <w:tcPr/>
          <w:p>
            <w:pPr>
              <w:pStyle w:val="Compact"/>
            </w:pPr>
            <w:r>
              <w:t xml:space="preserve">$-0.32</w:t>
            </w:r>
          </w:p>
        </w:tc>
        <w:tc>
          <w:tcPr/>
          <w:p>
            <w:pPr>
              <w:pStyle w:val="Compact"/>
            </w:pPr>
            <w:r>
              <w:t xml:space="preserve">-100.6%</w:t>
            </w:r>
          </w:p>
        </w:tc>
      </w:tr>
      <w:tr>
        <w:tc>
          <w:tcPr/>
          <w:p>
            <w:pPr>
              <w:pStyle w:val="Compact"/>
            </w:pPr>
            <w:r>
              <w:t xml:space="preserve">8Q</w:t>
            </w:r>
          </w:p>
        </w:tc>
        <w:tc>
          <w:tcPr/>
          <w:p>
            <w:pPr>
              <w:pStyle w:val="Compact"/>
            </w:pPr>
            <w:r>
              <w:t xml:space="preserve">Base</w:t>
            </w:r>
          </w:p>
        </w:tc>
        <w:tc>
          <w:tcPr/>
          <w:p>
            <w:pPr>
              <w:pStyle w:val="Compact"/>
            </w:pPr>
            <w:r>
              <w:t xml:space="preserve">$-4.11</w:t>
            </w:r>
          </w:p>
        </w:tc>
        <w:tc>
          <w:tcPr/>
          <w:p>
            <w:pPr>
              <w:pStyle w:val="Compact"/>
            </w:pPr>
            <w:r>
              <w:t xml:space="preserve">-107.4%</w:t>
            </w:r>
          </w:p>
        </w:tc>
      </w:tr>
      <w:tr>
        <w:tc>
          <w:tcPr/>
          <w:p>
            <w:pPr>
              <w:pStyle w:val="Compact"/>
            </w:pPr>
            <w:r>
              <w:t xml:space="preserve">8Q</w:t>
            </w:r>
          </w:p>
        </w:tc>
        <w:tc>
          <w:tcPr/>
          <w:p>
            <w:pPr>
              <w:pStyle w:val="Compact"/>
            </w:pPr>
            <w:r>
              <w:t xml:space="preserve">Bull</w:t>
            </w:r>
          </w:p>
        </w:tc>
        <w:tc>
          <w:tcPr/>
          <w:p>
            <w:pPr>
              <w:pStyle w:val="Compact"/>
            </w:pPr>
            <w:r>
              <w:t xml:space="preserve">$-7.97</w:t>
            </w:r>
          </w:p>
        </w:tc>
        <w:tc>
          <w:tcPr/>
          <w:p>
            <w:pPr>
              <w:pStyle w:val="Compact"/>
            </w:pPr>
            <w:r>
              <w:t xml:space="preserve">-114.4%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20.4%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$4.26</w:t>
            </w:r>
          </w:p>
        </w:tc>
        <w:tc>
          <w:tcPr/>
          <w:p>
            <w:pPr>
              <w:pStyle w:val="Compact"/>
            </w:pPr>
            <w:r>
              <w:t xml:space="preserve">-92.3%</w:t>
            </w:r>
          </w:p>
        </w:tc>
      </w:tr>
      <w:tr>
        <w:tc>
          <w:tcPr/>
          <w:p>
            <w:pPr>
              <w:pStyle w:val="Compact"/>
            </w:pPr>
            <w:r>
              <w:t xml:space="preserve">Base</w:t>
            </w:r>
          </w:p>
        </w:tc>
        <w:tc>
          <w:tcPr/>
          <w:p>
            <w:pPr>
              <w:pStyle w:val="Compact"/>
            </w:pPr>
            <w:r>
              <w:t xml:space="preserve">40.8%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$8.34</w:t>
            </w:r>
          </w:p>
        </w:tc>
        <w:tc>
          <w:tcPr/>
          <w:p>
            <w:pPr>
              <w:pStyle w:val="Compact"/>
            </w:pPr>
            <w:r>
              <w:t xml:space="preserve">-84.9%</w:t>
            </w:r>
          </w:p>
        </w:tc>
      </w:tr>
      <w:tr>
        <w:tc>
          <w:tcPr/>
          <w:p>
            <w:pPr>
              <w:pStyle w:val="Compact"/>
            </w:pPr>
            <w:r>
              <w:t xml:space="preserve">Bull</w:t>
            </w:r>
          </w:p>
        </w:tc>
        <w:tc>
          <w:tcPr/>
          <w:p>
            <w:pPr>
              <w:pStyle w:val="Compact"/>
            </w:pPr>
            <w:r>
              <w:t xml:space="preserve">53.1%</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$14.57</w:t>
            </w:r>
          </w:p>
        </w:tc>
        <w:tc>
          <w:tcPr/>
          <w:p>
            <w:pPr>
              <w:pStyle w:val="Compact"/>
            </w:pPr>
            <w:r>
              <w:t xml:space="preserve">-73.6%</w:t>
            </w:r>
          </w:p>
        </w:tc>
      </w:tr>
    </w:tbl>
    <w:p>
      <w:pPr>
        <w:pStyle w:val="BodyText"/>
      </w:pPr>
      <w:r>
        <w:rPr>
          <w:rFonts w:hint="eastAsia"/>
        </w:rPr>
        <w:t xml:space="preserve">概率加权价值</w:t>
      </w:r>
      <w:r>
        <w:t xml:space="preserve"> </w:t>
      </w:r>
      <w:r>
        <w:rPr>
          <w:b/>
          <w:bCs/>
        </w:rPr>
        <w:t xml:space="preserve">$8.88</w:t>
      </w:r>
      <w:r>
        <w:rPr>
          <w:rFonts w:hint="eastAsia"/>
        </w:rPr>
        <w:t xml:space="preserve">（相对现价</w:t>
      </w:r>
      <w:r>
        <w:t xml:space="preserve"> </w:t>
      </w:r>
      <w:r>
        <w:rPr>
          <w:rFonts w:hint="eastAsia"/>
        </w:rPr>
        <w:t xml:space="preserve">-83.9%）。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 bn </w:t>
      </w:r>
      <w:r>
        <w:rPr>
          <w:rFonts w:hint="eastAsia"/>
        </w:rPr>
        <w:t xml:space="preserve">USD；终值占比</w:t>
      </w:r>
      <w:r>
        <w:t xml:space="preserve"> 73.7%。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108.6%</w:t>
      </w:r>
      <w:r>
        <w:rPr>
          <w:rFonts w:hint="eastAsia"/>
        </w:rPr>
        <w:t xml:space="preserve">；一致预期FY+1增速</w:t>
      </w:r>
      <w:r>
        <w:t xml:space="preserve"> 40.8%。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35.3 bn USD | 40.2x | 850.1x | 62.0% | 37.3% | -1.1% |</w:t>
      </w:r>
      <w:r>
        <w:t xml:space="preserve"> </w:t>
      </w:r>
      <w:r>
        <w:t xml:space="preserve">| SPCX | 1,959.1 bn USD | 167.4x | 74.8x | 91.9% | 51.9% | N/A |</w:t>
      </w:r>
      <w:r>
        <w:t xml:space="preserve"> </w:t>
      </w:r>
      <w:r>
        <w:t xml:space="preserve">| ASTS | 17.3 bn USD | 126.1x | -34.6x | 2626.6% | 38.9% | -10.4% |</w:t>
      </w:r>
      <w:r>
        <w:t xml:space="preserve"> </w:t>
      </w:r>
      <w:r>
        <w:t xml:space="preserve">| LUNR | 1.9 bn USD | 6.8x | -74.6x | 309.8% | 16.3% | -4.3% |</w:t>
      </w:r>
      <w:r>
        <w:t xml:space="preserve"> </w:t>
      </w:r>
      <w:r>
        <w:t xml:space="preserve">| PL | 5.3 bn USD | 13.0x | -11632.0x | 58.1% | 55.5%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55.25</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3.533e+10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0.5973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0.4083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0.4083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d51dd774dc41d9b05337783d3f943dbb0c7e58"/>
    <w:p>
      <w:pPr>
        <w:pStyle w:val="Heading1"/>
      </w:pPr>
      <w:r>
        <w:t xml:space="preserve">RKLB Rocket Lab Corporation — Equity Deep Dive (Professional English) v20261016-0756</w:t>
      </w:r>
    </w:p>
    <w:p>
      <w:pPr>
        <w:pStyle w:val="BlockText"/>
      </w:pPr>
      <w:r>
        <w:t xml:space="preserve">Data as of 2026-10-16 07:56 SGT | Price $55.25 | Mkt cap 35.3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-0.06464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$-3.56</w:t>
            </w:r>
          </w:p>
        </w:tc>
        <w:tc>
          <w:tcPr/>
          <w:p>
            <w:pPr>
              <w:pStyle w:val="Compact"/>
            </w:pPr>
            <w:r>
              <w:t xml:space="preserve">-106.4%</w:t>
            </w:r>
          </w:p>
        </w:tc>
      </w:tr>
      <w:tr>
        <w:tc>
          <w:tcPr/>
          <w:p>
            <w:pPr>
              <w:pStyle w:val="Compact"/>
            </w:pPr>
            <w:r>
              <w:t xml:space="preserve">2Q</w:t>
            </w:r>
          </w:p>
        </w:tc>
        <w:tc>
          <w:tcPr/>
          <w:p>
            <w:pPr>
              <w:pStyle w:val="Compact"/>
            </w:pPr>
            <w:r>
              <w:t xml:space="preserve">Base</w:t>
            </w:r>
          </w:p>
        </w:tc>
        <w:tc>
          <w:tcPr/>
          <w:p>
            <w:pPr>
              <w:pStyle w:val="Compact"/>
            </w:pPr>
            <w:r>
              <w:t xml:space="preserve">$-10.64</w:t>
            </w:r>
          </w:p>
        </w:tc>
        <w:tc>
          <w:tcPr/>
          <w:p>
            <w:pPr>
              <w:pStyle w:val="Compact"/>
            </w:pPr>
            <w:r>
              <w:t xml:space="preserve">-119.3%</w:t>
            </w:r>
          </w:p>
        </w:tc>
      </w:tr>
      <w:tr>
        <w:tc>
          <w:tcPr/>
          <w:p>
            <w:pPr>
              <w:pStyle w:val="Compact"/>
            </w:pPr>
            <w:r>
              <w:t xml:space="preserve">2Q</w:t>
            </w:r>
          </w:p>
        </w:tc>
        <w:tc>
          <w:tcPr/>
          <w:p>
            <w:pPr>
              <w:pStyle w:val="Compact"/>
            </w:pPr>
            <w:r>
              <w:t xml:space="preserve">Bull</w:t>
            </w:r>
          </w:p>
        </w:tc>
        <w:tc>
          <w:tcPr/>
          <w:p>
            <w:pPr>
              <w:pStyle w:val="Compact"/>
            </w:pPr>
            <w:r>
              <w:t xml:space="preserve">$-18.29</w:t>
            </w:r>
          </w:p>
        </w:tc>
        <w:tc>
          <w:tcPr/>
          <w:p>
            <w:pPr>
              <w:pStyle w:val="Compact"/>
            </w:pPr>
            <w:r>
              <w:t xml:space="preserve">-133.1%</w:t>
            </w:r>
          </w:p>
        </w:tc>
      </w:tr>
      <w:tr>
        <w:tc>
          <w:tcPr/>
          <w:p>
            <w:pPr>
              <w:pStyle w:val="Compact"/>
            </w:pPr>
            <w:r>
              <w:t xml:space="preserve">4Q</w:t>
            </w:r>
          </w:p>
        </w:tc>
        <w:tc>
          <w:tcPr/>
          <w:p>
            <w:pPr>
              <w:pStyle w:val="Compact"/>
            </w:pPr>
            <w:r>
              <w:t xml:space="preserve">Bear</w:t>
            </w:r>
          </w:p>
        </w:tc>
        <w:tc>
          <w:tcPr/>
          <w:p>
            <w:pPr>
              <w:pStyle w:val="Compact"/>
            </w:pPr>
            <w:r>
              <w:t xml:space="preserve">$-2.56</w:t>
            </w:r>
          </w:p>
        </w:tc>
        <w:tc>
          <w:tcPr/>
          <w:p>
            <w:pPr>
              <w:pStyle w:val="Compact"/>
            </w:pPr>
            <w:r>
              <w:t xml:space="preserve">-104.6%</w:t>
            </w:r>
          </w:p>
        </w:tc>
      </w:tr>
      <w:tr>
        <w:tc>
          <w:tcPr/>
          <w:p>
            <w:pPr>
              <w:pStyle w:val="Compact"/>
            </w:pPr>
            <w:r>
              <w:t xml:space="preserve">4Q</w:t>
            </w:r>
          </w:p>
        </w:tc>
        <w:tc>
          <w:tcPr/>
          <w:p>
            <w:pPr>
              <w:pStyle w:val="Compact"/>
            </w:pPr>
            <w:r>
              <w:t xml:space="preserve">Base</w:t>
            </w:r>
          </w:p>
        </w:tc>
        <w:tc>
          <w:tcPr/>
          <w:p>
            <w:pPr>
              <w:pStyle w:val="Compact"/>
            </w:pPr>
            <w:r>
              <w:t xml:space="preserve">$-9.10</w:t>
            </w:r>
          </w:p>
        </w:tc>
        <w:tc>
          <w:tcPr/>
          <w:p>
            <w:pPr>
              <w:pStyle w:val="Compact"/>
            </w:pPr>
            <w:r>
              <w:t xml:space="preserve">-116.5%</w:t>
            </w:r>
          </w:p>
        </w:tc>
      </w:tr>
      <w:tr>
        <w:tc>
          <w:tcPr/>
          <w:p>
            <w:pPr>
              <w:pStyle w:val="Compact"/>
            </w:pPr>
            <w:r>
              <w:t xml:space="preserve">4Q</w:t>
            </w:r>
          </w:p>
        </w:tc>
        <w:tc>
          <w:tcPr/>
          <w:p>
            <w:pPr>
              <w:pStyle w:val="Compact"/>
            </w:pPr>
            <w:r>
              <w:t xml:space="preserve">Bull</w:t>
            </w:r>
          </w:p>
        </w:tc>
        <w:tc>
          <w:tcPr/>
          <w:p>
            <w:pPr>
              <w:pStyle w:val="Compact"/>
            </w:pPr>
            <w:r>
              <w:t xml:space="preserve">$-16.30</w:t>
            </w:r>
          </w:p>
        </w:tc>
        <w:tc>
          <w:tcPr/>
          <w:p>
            <w:pPr>
              <w:pStyle w:val="Compact"/>
            </w:pPr>
            <w:r>
              <w:t xml:space="preserve">-129.5%</w:t>
            </w:r>
          </w:p>
        </w:tc>
      </w:tr>
      <w:tr>
        <w:tc>
          <w:tcPr/>
          <w:p>
            <w:pPr>
              <w:pStyle w:val="Compact"/>
            </w:pPr>
            <w:r>
              <w:t xml:space="preserve">6Q</w:t>
            </w:r>
          </w:p>
        </w:tc>
        <w:tc>
          <w:tcPr/>
          <w:p>
            <w:pPr>
              <w:pStyle w:val="Compact"/>
            </w:pPr>
            <w:r>
              <w:t xml:space="preserve">Bear</w:t>
            </w:r>
          </w:p>
        </w:tc>
        <w:tc>
          <w:tcPr/>
          <w:p>
            <w:pPr>
              <w:pStyle w:val="Compact"/>
            </w:pPr>
            <w:r>
              <w:t xml:space="preserve">$-1.49</w:t>
            </w:r>
          </w:p>
        </w:tc>
        <w:tc>
          <w:tcPr/>
          <w:p>
            <w:pPr>
              <w:pStyle w:val="Compact"/>
            </w:pPr>
            <w:r>
              <w:t xml:space="preserve">-102.7%</w:t>
            </w:r>
          </w:p>
        </w:tc>
      </w:tr>
      <w:tr>
        <w:tc>
          <w:tcPr/>
          <w:p>
            <w:pPr>
              <w:pStyle w:val="Compact"/>
            </w:pPr>
            <w:r>
              <w:t xml:space="preserve">6Q</w:t>
            </w:r>
          </w:p>
        </w:tc>
        <w:tc>
          <w:tcPr/>
          <w:p>
            <w:pPr>
              <w:pStyle w:val="Compact"/>
            </w:pPr>
            <w:r>
              <w:t xml:space="preserve">Base</w:t>
            </w:r>
          </w:p>
        </w:tc>
        <w:tc>
          <w:tcPr/>
          <w:p>
            <w:pPr>
              <w:pStyle w:val="Compact"/>
            </w:pPr>
            <w:r>
              <w:t xml:space="preserve">$-6.96</w:t>
            </w:r>
          </w:p>
        </w:tc>
        <w:tc>
          <w:tcPr/>
          <w:p>
            <w:pPr>
              <w:pStyle w:val="Compact"/>
            </w:pPr>
            <w:r>
              <w:t xml:space="preserve">-112.6%</w:t>
            </w:r>
          </w:p>
        </w:tc>
      </w:tr>
      <w:tr>
        <w:tc>
          <w:tcPr/>
          <w:p>
            <w:pPr>
              <w:pStyle w:val="Compact"/>
            </w:pPr>
            <w:r>
              <w:t xml:space="preserve">6Q</w:t>
            </w:r>
          </w:p>
        </w:tc>
        <w:tc>
          <w:tcPr/>
          <w:p>
            <w:pPr>
              <w:pStyle w:val="Compact"/>
            </w:pPr>
            <w:r>
              <w:t xml:space="preserve">Bull</w:t>
            </w:r>
          </w:p>
        </w:tc>
        <w:tc>
          <w:tcPr/>
          <w:p>
            <w:pPr>
              <w:pStyle w:val="Compact"/>
            </w:pPr>
            <w:r>
              <w:t xml:space="preserve">$-12.98</w:t>
            </w:r>
          </w:p>
        </w:tc>
        <w:tc>
          <w:tcPr/>
          <w:p>
            <w:pPr>
              <w:pStyle w:val="Compact"/>
            </w:pPr>
            <w:r>
              <w:t xml:space="preserve">-123.5%</w:t>
            </w:r>
          </w:p>
        </w:tc>
      </w:tr>
      <w:tr>
        <w:tc>
          <w:tcPr/>
          <w:p>
            <w:pPr>
              <w:pStyle w:val="Compact"/>
            </w:pPr>
            <w:r>
              <w:t xml:space="preserve">8Q</w:t>
            </w:r>
          </w:p>
        </w:tc>
        <w:tc>
          <w:tcPr/>
          <w:p>
            <w:pPr>
              <w:pStyle w:val="Compact"/>
            </w:pPr>
            <w:r>
              <w:t xml:space="preserve">Bear</w:t>
            </w:r>
          </w:p>
        </w:tc>
        <w:tc>
          <w:tcPr/>
          <w:p>
            <w:pPr>
              <w:pStyle w:val="Compact"/>
            </w:pPr>
            <w:r>
              <w:t xml:space="preserve">$-0.32</w:t>
            </w:r>
          </w:p>
        </w:tc>
        <w:tc>
          <w:tcPr/>
          <w:p>
            <w:pPr>
              <w:pStyle w:val="Compact"/>
            </w:pPr>
            <w:r>
              <w:t xml:space="preserve">-100.6%</w:t>
            </w:r>
          </w:p>
        </w:tc>
      </w:tr>
      <w:tr>
        <w:tc>
          <w:tcPr/>
          <w:p>
            <w:pPr>
              <w:pStyle w:val="Compact"/>
            </w:pPr>
            <w:r>
              <w:t xml:space="preserve">8Q</w:t>
            </w:r>
          </w:p>
        </w:tc>
        <w:tc>
          <w:tcPr/>
          <w:p>
            <w:pPr>
              <w:pStyle w:val="Compact"/>
            </w:pPr>
            <w:r>
              <w:t xml:space="preserve">Base</w:t>
            </w:r>
          </w:p>
        </w:tc>
        <w:tc>
          <w:tcPr/>
          <w:p>
            <w:pPr>
              <w:pStyle w:val="Compact"/>
            </w:pPr>
            <w:r>
              <w:t xml:space="preserve">$-4.11</w:t>
            </w:r>
          </w:p>
        </w:tc>
        <w:tc>
          <w:tcPr/>
          <w:p>
            <w:pPr>
              <w:pStyle w:val="Compact"/>
            </w:pPr>
            <w:r>
              <w:t xml:space="preserve">-107.4%</w:t>
            </w:r>
          </w:p>
        </w:tc>
      </w:tr>
      <w:tr>
        <w:tc>
          <w:tcPr/>
          <w:p>
            <w:pPr>
              <w:pStyle w:val="Compact"/>
            </w:pPr>
            <w:r>
              <w:t xml:space="preserve">8Q</w:t>
            </w:r>
          </w:p>
        </w:tc>
        <w:tc>
          <w:tcPr/>
          <w:p>
            <w:pPr>
              <w:pStyle w:val="Compact"/>
            </w:pPr>
            <w:r>
              <w:t xml:space="preserve">Bull</w:t>
            </w:r>
          </w:p>
        </w:tc>
        <w:tc>
          <w:tcPr/>
          <w:p>
            <w:pPr>
              <w:pStyle w:val="Compact"/>
            </w:pPr>
            <w:r>
              <w:t xml:space="preserve">$-7.97</w:t>
            </w:r>
          </w:p>
        </w:tc>
        <w:tc>
          <w:tcPr/>
          <w:p>
            <w:pPr>
              <w:pStyle w:val="Compact"/>
            </w:pPr>
            <w:r>
              <w:t xml:space="preserve">-114.4%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20.4%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$4.26</w:t>
            </w:r>
          </w:p>
        </w:tc>
        <w:tc>
          <w:tcPr/>
          <w:p>
            <w:pPr>
              <w:pStyle w:val="Compact"/>
            </w:pPr>
            <w:r>
              <w:t xml:space="preserve">-92.3%</w:t>
            </w:r>
          </w:p>
        </w:tc>
      </w:tr>
      <w:tr>
        <w:tc>
          <w:tcPr/>
          <w:p>
            <w:pPr>
              <w:pStyle w:val="Compact"/>
            </w:pPr>
            <w:r>
              <w:t xml:space="preserve">Base</w:t>
            </w:r>
          </w:p>
        </w:tc>
        <w:tc>
          <w:tcPr/>
          <w:p>
            <w:pPr>
              <w:pStyle w:val="Compact"/>
            </w:pPr>
            <w:r>
              <w:t xml:space="preserve">40.8%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$8.34</w:t>
            </w:r>
          </w:p>
        </w:tc>
        <w:tc>
          <w:tcPr/>
          <w:p>
            <w:pPr>
              <w:pStyle w:val="Compact"/>
            </w:pPr>
            <w:r>
              <w:t xml:space="preserve">-84.9%</w:t>
            </w:r>
          </w:p>
        </w:tc>
      </w:tr>
      <w:tr>
        <w:tc>
          <w:tcPr/>
          <w:p>
            <w:pPr>
              <w:pStyle w:val="Compact"/>
            </w:pPr>
            <w:r>
              <w:t xml:space="preserve">Bull</w:t>
            </w:r>
          </w:p>
        </w:tc>
        <w:tc>
          <w:tcPr/>
          <w:p>
            <w:pPr>
              <w:pStyle w:val="Compact"/>
            </w:pPr>
            <w:r>
              <w:t xml:space="preserve">53.1%</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$14.57</w:t>
            </w:r>
          </w:p>
        </w:tc>
        <w:tc>
          <w:tcPr/>
          <w:p>
            <w:pPr>
              <w:pStyle w:val="Compact"/>
            </w:pPr>
            <w:r>
              <w:t xml:space="preserve">-73.6%</w:t>
            </w:r>
          </w:p>
        </w:tc>
      </w:tr>
    </w:tbl>
    <w:p>
      <w:pPr>
        <w:pStyle w:val="BodyText"/>
      </w:pPr>
      <w:r>
        <w:t xml:space="preserve">Probability-weighted value</w:t>
      </w:r>
      <w:r>
        <w:t xml:space="preserve"> </w:t>
      </w:r>
      <w:r>
        <w:rPr>
          <w:b/>
          <w:bCs/>
        </w:rPr>
        <w:t xml:space="preserve">$8.88</w:t>
      </w:r>
      <w:r>
        <w:t xml:space="preserve"> </w:t>
      </w:r>
      <w:r>
        <w:t xml:space="preserve">(-83.9%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 bn USD; terminal share 73.7%.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108.6%</w:t>
      </w:r>
      <w:r>
        <w:t xml:space="preserve"> </w:t>
      </w:r>
      <w:r>
        <w:t xml:space="preserve">vs consensus FY+1 40.8%.</w:t>
      </w:r>
    </w:p>
    <w:p>
      <w:pPr>
        <w:pStyle w:val="Compact"/>
        <w:numPr>
          <w:ilvl w:val="0"/>
          <w:numId w:val="1013"/>
        </w:numPr>
      </w:pPr>
      <w:r>
        <w:t xml:space="preserve">WACC (CAPM) = rf 5.2% + β 1.60 × ERP 5.0% = 13.2%.</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2026-10-15T23:59:29Z</dcterms:created>
  <dcterms:modified xsi:type="dcterms:W3CDTF">2026-10-15T23:59:29Z</dcterms:modified>
</cp:coreProperties>
</file>

<file path=docProps/custom.xml><?xml version="1.0" encoding="utf-8"?>
<Properties xmlns="http://schemas.openxmlformats.org/officeDocument/2006/custom-properties" xmlns:vt="http://schemas.openxmlformats.org/officeDocument/2006/docPropsVTypes"/>
</file>