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ae7bcba649d1299bfaa29e0dd3f6bfb33b338a"/>
    <w:p>
      <w:pPr>
        <w:pStyle w:val="Heading1"/>
      </w:pPr>
      <w:r>
        <w:t xml:space="preserve">SIMO Silicon Motion Technology Corporation — </w:t>
      </w:r>
      <w:r>
        <w:rPr>
          <w:rFonts w:hint="eastAsia"/>
        </w:rPr>
        <w:t xml:space="preserve">个股深度研究</w:t>
      </w:r>
      <w:r>
        <w:t xml:space="preserve"> </w:t>
      </w:r>
      <w:r>
        <w:rPr>
          <w:rFonts w:hint="eastAsia"/>
        </w:rPr>
        <w:t xml:space="preserve">(专业中文版)</w:t>
      </w:r>
      <w:r>
        <w:t xml:space="preserve"> v20261016-0756</w:t>
      </w:r>
    </w:p>
    <w:p>
      <w:pPr>
        <w:pStyle w:val="BlockText"/>
      </w:pPr>
      <w:r>
        <w:rPr>
          <w:rFonts w:hint="eastAsia"/>
        </w:rPr>
        <w:t xml:space="preserve">数据截至</w:t>
      </w:r>
      <w:r>
        <w:t xml:space="preserve"> 2026-10-16 07:56 </w:t>
      </w:r>
      <w:r>
        <w:rPr>
          <w:rFonts w:hint="eastAsia"/>
        </w:rPr>
        <w:t xml:space="preserve">SGT｜价格</w:t>
      </w:r>
      <w:r>
        <w:t xml:space="preserve"> </w:t>
      </w:r>
      <w:r>
        <w:rPr>
          <w:rFonts w:hint="eastAsia"/>
        </w:rPr>
        <w:t xml:space="preserve">$218.39｜市值</w:t>
      </w:r>
      <w:r>
        <w:t xml:space="preserve"> 7.4 bn </w:t>
      </w:r>
      <w:r>
        <w:rPr>
          <w:rFonts w:hint="eastAsia"/>
        </w:rPr>
        <w:t xml:space="preserve">USD｜财报货币</w:t>
      </w:r>
      <w:r>
        <w:t xml:space="preserve"> </w:t>
      </w:r>
      <w:r>
        <w:rPr>
          <w:rFonts w:hint="eastAsia"/>
        </w:rPr>
        <w:t xml:space="preserve">USD｜非投资建议。事实=CONFIRMED/DATA；推断=INFERENCE；假设=ASSUMPTION/HYPOTHESIS。</w:t>
      </w:r>
    </w:p>
    <w:bookmarkStart w:id="9" w:name="投资论点-investment-thesis-hypothesis"/>
    <w:p>
      <w:pPr>
        <w:pStyle w:val="Heading2"/>
      </w:pPr>
      <w:r>
        <w:t xml:space="preserve">1. </w:t>
      </w:r>
      <w:r>
        <w:rPr>
          <w:rFonts w:hint="eastAsia"/>
        </w:rPr>
        <w:t xml:space="preserve">投资论点</w:t>
      </w:r>
      <w:r>
        <w:t xml:space="preserve"> Investment Thesis (HYPOTHESIS)</w:t>
      </w:r>
    </w:p>
    <w:p>
      <w:pPr>
        <w:pStyle w:val="FirstParagraph"/>
      </w:pPr>
      <w:r>
        <w:rPr>
          <w:rFonts w:hint="eastAsia"/>
        </w:rPr>
        <w:t xml:space="preserve">慧荣是NAND周期与AI企业级SSD的’卖铲人’；收入弹性大，NAND价格上涨期受益于出货与规格升级。注意最新数据期间FCF为负。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多头驱动</w:t>
      </w:r>
      <w:r>
        <w:t xml:space="preserve">: Enterprise SSD (MonTitan) wins; PCIe Gen5/6 </w:t>
      </w:r>
      <w:r>
        <w:rPr>
          <w:rFonts w:hint="eastAsia"/>
        </w:rPr>
        <w:t xml:space="preserve">mix｜企业级SSD获单；PCIe</w:t>
      </w:r>
      <w:r>
        <w:t xml:space="preserve"> </w:t>
      </w:r>
      <w:r>
        <w:rPr>
          <w:rFonts w:hint="eastAsia"/>
        </w:rPr>
        <w:t xml:space="preserve">5/6升级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空头驱动</w:t>
      </w:r>
      <w:r>
        <w:t xml:space="preserve">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证伪条件</w:t>
      </w:r>
      <w:r>
        <w:rPr>
          <w:b/>
          <w:bCs/>
        </w:rPr>
        <w:t xml:space="preserve"> Falsifiers</w:t>
      </w:r>
      <w:r>
        <w:t xml:space="preserve">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9"/>
    <w:bookmarkStart w:id="10" w:name="产品客户与收入模式"/>
    <w:p>
      <w:pPr>
        <w:pStyle w:val="Heading2"/>
      </w:pPr>
      <w:r>
        <w:t xml:space="preserve">2. </w:t>
      </w:r>
      <w:r>
        <w:rPr>
          <w:rFonts w:hint="eastAsia"/>
        </w:rPr>
        <w:t xml:space="preserve">产品、客户与收入模式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主题</w:t>
      </w:r>
      <w:r>
        <w:t xml:space="preserve"> Theme: NAND/SSD controllers </w:t>
      </w:r>
      <w:r>
        <w:rPr>
          <w:rFonts w:hint="eastAsia"/>
        </w:rPr>
        <w:t xml:space="preserve">存储控制器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业务分部</w:t>
      </w:r>
      <w:r>
        <w:t xml:space="preserve"> Segments: SSD controllers </w:t>
      </w:r>
      <w:r>
        <w:rPr>
          <w:rFonts w:hint="eastAsia"/>
        </w:rPr>
        <w:t xml:space="preserve">SSD主控；eMMC/UFS</w:t>
      </w:r>
      <w:r>
        <w:t xml:space="preserve"> controllers </w:t>
      </w:r>
      <w:r>
        <w:rPr>
          <w:rFonts w:hint="eastAsia"/>
        </w:rPr>
        <w:t xml:space="preserve">嵌入式主控；Other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公司描述</w:t>
      </w:r>
      <w:r>
        <w:t xml:space="preserve"> (DATA, </w:t>
      </w:r>
      <w:r>
        <w:rPr>
          <w:rFonts w:hint="eastAsia"/>
        </w:rPr>
        <w:t xml:space="preserve">Yahoo/公司申报):</w:t>
      </w:r>
      <w:r>
        <w:t xml:space="preserve"> Silicon Motion Technology Corporation, together with its subsidiaries, designs, develops, and markets NAND flash controllers for solid-state storage devices and related devices in China, Japan, Singapore, Taiwan, Korea, the United States, and internationally. It offers controllers for computing-grade solid state drives (SSDs), which are used in PCs and other client devices; enterprise-grade SSDs used in enterprise and hyperscale data centers; eMMC and UFS mobile embedded storage for use in smartphones and IoT devices; flash memory cards and flash drives for use in expandable storage; and specialized SSDs that are used in industrial, commercial, and automotive applications. The company markets its controllers under the SMI brand; and single-chip SSDs under the FerriSSD, Ferri-eMMC, and Ferri-UFS brands. It markets and sells its products through direct sales personnel and independent elect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主要客户:</w:t>
      </w:r>
      <w:r>
        <w:t xml:space="preserve"> Samsung, SK hynix, Micron, Kioxia/SanDisk, YMTC, module </w:t>
      </w:r>
      <w:r>
        <w:rPr>
          <w:rFonts w:hint="eastAsia"/>
        </w:rPr>
        <w:t xml:space="preserve">makers｜各NAND原厂与模组厂</w:t>
      </w:r>
    </w:p>
    <w:bookmarkEnd w:id="10"/>
    <w:bookmarkStart w:id="11" w:name="行业竞争监管与供应链-analyst-framework"/>
    <w:p>
      <w:pPr>
        <w:pStyle w:val="Heading2"/>
      </w:pPr>
      <w:r>
        <w:t xml:space="preserve">3. </w:t>
      </w:r>
      <w:r>
        <w:rPr>
          <w:rFonts w:hint="eastAsia"/>
        </w:rPr>
        <w:t xml:space="preserve">行业、竞争、监管与供应链</w:t>
      </w:r>
      <w:r>
        <w:t xml:space="preserve"> (ANALYST FRAMEWORK)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供应商/上游:</w:t>
      </w:r>
      <w:r>
        <w:t xml:space="preserve"> TSMC (controller wafers), </w:t>
      </w:r>
      <w:r>
        <w:rPr>
          <w:rFonts w:hint="eastAsia"/>
        </w:rPr>
        <w:t xml:space="preserve">OSATs｜台积电、封测厂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竞争者</w:t>
      </w:r>
      <w:r>
        <w:t xml:space="preserve"> </w:t>
      </w:r>
      <w:r>
        <w:rPr>
          <w:rFonts w:hint="eastAsia"/>
        </w:rPr>
        <w:t xml:space="preserve">(含业外):</w:t>
      </w:r>
      <w:r>
        <w:t xml:space="preserve"> Phison, Marvell, Samsung/WD in-house </w:t>
      </w:r>
      <w:r>
        <w:rPr>
          <w:rFonts w:hint="eastAsia"/>
        </w:rPr>
        <w:t xml:space="preserve">controllers｜群联、Marvell、原厂自研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瓶颈/监管:</w:t>
      </w:r>
      <w:r>
        <w:t xml:space="preserve"> NAND bit growth, enterprise SSD controller design </w:t>
      </w:r>
      <w:r>
        <w:rPr>
          <w:rFonts w:hint="eastAsia"/>
        </w:rPr>
        <w:t xml:space="preserve">wins｜NAND位元增长、企业级SSD主控订单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关键KPI:</w:t>
      </w:r>
      <w:r>
        <w:t xml:space="preserve"> Revenue by segment, GM%, enterprise SSD </w:t>
      </w:r>
      <w:r>
        <w:rPr>
          <w:rFonts w:hint="eastAsia"/>
        </w:rPr>
        <w:t xml:space="preserve">wins｜分业务收入、毛利率、企业级订单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零部件现货/合约价:</w:t>
      </w:r>
      <w:r>
        <w:t xml:space="preserve"> </w:t>
      </w:r>
      <w:r>
        <w:rPr>
          <w:rFonts w:hint="eastAsia"/>
        </w:rPr>
        <w:t xml:space="preserve">本版未接入付费价格源(TrendForce/DRAMeXchange等)——标注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，在KPI监控中以定性方式跟踪。</w:t>
      </w:r>
    </w:p>
    <w:bookmarkEnd w:id="11"/>
    <w:bookmarkStart w:id="12" w:name="历史财务与现金流-confirmed-季度-usd"/>
    <w:p>
      <w:pPr>
        <w:pStyle w:val="Heading2"/>
      </w:pPr>
      <w:r>
        <w:t xml:space="preserve">4. </w:t>
      </w:r>
      <w:r>
        <w:rPr>
          <w:rFonts w:hint="eastAsia"/>
        </w:rPr>
        <w:t xml:space="preserve">历史财务与现金流</w:t>
      </w:r>
      <w:r>
        <w:t xml:space="preserve"> (CONFIRMED, </w:t>
      </w:r>
      <w:r>
        <w:rPr>
          <w:rFonts w:hint="eastAsia"/>
        </w:rPr>
        <w:t xml:space="preserve">季度,</w:t>
      </w:r>
      <w:r>
        <w:t xml:space="preserve">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净利润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营业利润率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-71.5 mn USD</w:t>
            </w:r>
          </w:p>
        </w:tc>
        <w:tc>
          <w:tcPr/>
          <w:p>
            <w:pPr>
              <w:pStyle w:val="Compact"/>
            </w:pPr>
            <w:r>
              <w:t xml:space="preserve">22.4%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52.2 mn USD</w:t>
            </w:r>
          </w:p>
        </w:tc>
        <w:tc>
          <w:tcPr/>
          <w:p>
            <w:pPr>
              <w:pStyle w:val="Compact"/>
            </w:pPr>
            <w:r>
              <w:t xml:space="preserve">66.8 mn USD</w:t>
            </w:r>
          </w:p>
        </w:tc>
        <w:tc>
          <w:tcPr/>
          <w:p>
            <w:pPr>
              <w:pStyle w:val="Compact"/>
            </w:pPr>
            <w:r>
              <w:t xml:space="preserve">-49.4 mn USD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31.7 mn USD</w:t>
            </w:r>
          </w:p>
        </w:tc>
        <w:tc>
          <w:tcPr/>
          <w:p>
            <w:pPr>
              <w:pStyle w:val="Compact"/>
            </w:pPr>
            <w:r>
              <w:t xml:space="preserve">47.7 mn USD</w:t>
            </w:r>
          </w:p>
        </w:tc>
        <w:tc>
          <w:tcPr/>
          <w:p>
            <w:pPr>
              <w:pStyle w:val="Compact"/>
            </w:pPr>
            <w:r>
              <w:t xml:space="preserve">-6.3 mn USD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29.2 mn USD</w:t>
            </w:r>
          </w:p>
        </w:tc>
        <w:tc>
          <w:tcPr/>
          <w:p>
            <w:pPr>
              <w:pStyle w:val="Compact"/>
            </w:pPr>
            <w:r>
              <w:t xml:space="preserve">39.1 mn USD</w:t>
            </w:r>
          </w:p>
        </w:tc>
        <w:tc>
          <w:tcPr/>
          <w:p>
            <w:pPr>
              <w:pStyle w:val="Compact"/>
            </w:pPr>
            <w:r>
              <w:t xml:space="preserve">6.8 mn USD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94.7 mn USD</w:t>
            </w:r>
          </w:p>
        </w:tc>
        <w:tc>
          <w:tcPr/>
          <w:p>
            <w:pPr>
              <w:pStyle w:val="Compact"/>
            </w:pPr>
            <w:r>
              <w:t xml:space="preserve">22.3 mn USD</w:t>
            </w:r>
          </w:p>
        </w:tc>
        <w:tc>
          <w:tcPr/>
          <w:p>
            <w:pPr>
              <w:pStyle w:val="Compact"/>
            </w:pPr>
            <w:r>
              <w:t xml:space="preserve">16.3 mn USD</w:t>
            </w:r>
          </w:p>
        </w:tc>
        <w:tc>
          <w:tcPr/>
          <w:p>
            <w:pPr>
              <w:pStyle w:val="Compact"/>
            </w:pPr>
            <w:r>
              <w:t xml:space="preserve">-32.8 mn USD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资产负债:</w:t>
      </w:r>
      <w:r>
        <w:t xml:space="preserve"> </w:t>
      </w:r>
      <w:r>
        <w:rPr>
          <w:rFonts w:hint="eastAsia"/>
        </w:rPr>
        <w:t xml:space="preserve">现金</w:t>
      </w:r>
      <w:r>
        <w:t xml:space="preserve"> 74.4 mn </w:t>
      </w:r>
      <w:r>
        <w:rPr>
          <w:rFonts w:hint="eastAsia"/>
        </w:rPr>
        <w:t xml:space="preserve">USD；总负债</w:t>
      </w:r>
      <w:r>
        <w:t xml:space="preserve"> 72.5 mn </w:t>
      </w:r>
      <w:r>
        <w:rPr>
          <w:rFonts w:hint="eastAsia"/>
        </w:rPr>
        <w:t xml:space="preserve">USD；净现金</w:t>
      </w:r>
      <w:r>
        <w:t xml:space="preserve"> 1.9 mn USD。TTM FCF -0.1 bn </w:t>
      </w:r>
      <w:r>
        <w:rPr>
          <w:rFonts w:hint="eastAsia"/>
        </w:rPr>
        <w:t xml:space="preserve">USD（FCF率</w:t>
      </w:r>
      <w:r>
        <w:t xml:space="preserve"> </w:t>
      </w:r>
      <w:r>
        <w:rPr>
          <w:rFonts w:hint="eastAsia"/>
        </w:rPr>
        <w:t xml:space="preserve">-9.2%）。</w:t>
      </w:r>
    </w:p>
    <w:bookmarkEnd w:id="12"/>
    <w:bookmarkStart w:id="13" w:name="最新财报-实际-vs-一致预期-vs-指引"/>
    <w:p>
      <w:pPr>
        <w:pStyle w:val="Heading2"/>
      </w:pPr>
      <w:r>
        <w:t xml:space="preserve">5. </w:t>
      </w:r>
      <w:r>
        <w:rPr>
          <w:rFonts w:hint="eastAsia"/>
        </w:rPr>
        <w:t xml:space="preserve">最新财报:</w:t>
      </w:r>
      <w:r>
        <w:t xml:space="preserve"> </w:t>
      </w:r>
      <w:r>
        <w:rPr>
          <w:rFonts w:hint="eastAsia"/>
        </w:rPr>
        <w:t xml:space="preserve">实际</w:t>
      </w:r>
      <w:r>
        <w:t xml:space="preserve"> vs </w:t>
      </w:r>
      <w:r>
        <w:rPr>
          <w:rFonts w:hint="eastAsia"/>
        </w:rPr>
        <w:t xml:space="preserve">一致预期</w:t>
      </w:r>
      <w:r>
        <w:t xml:space="preserve"> vs </w:t>
      </w:r>
      <w:r>
        <w:rPr>
          <w:rFonts w:hint="eastAsia"/>
        </w:rPr>
        <w:t xml:space="preserve">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EPS一致预期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0.80667</w:t>
            </w:r>
          </w:p>
        </w:tc>
        <w:tc>
          <w:tcPr/>
          <w:p>
            <w:pPr>
              <w:pStyle w:val="Compact"/>
            </w:pPr>
            <w:r>
              <w:t xml:space="preserve">0.23969999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1.29834</w:t>
            </w:r>
          </w:p>
        </w:tc>
        <w:tc>
          <w:tcPr/>
          <w:p>
            <w:pPr>
              <w:pStyle w:val="Compact"/>
            </w:pPr>
            <w:r>
              <w:t xml:space="preserve">-0.0295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1.30305</w:t>
            </w:r>
          </w:p>
        </w:tc>
        <w:tc>
          <w:tcPr/>
          <w:p>
            <w:pPr>
              <w:pStyle w:val="Compact"/>
            </w:pPr>
            <w:r>
              <w:t xml:space="preserve">0.2125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2.10662</w:t>
            </w:r>
          </w:p>
        </w:tc>
        <w:tc>
          <w:tcPr/>
          <w:p>
            <w:pPr>
              <w:pStyle w:val="Compact"/>
            </w:pPr>
            <w:r>
              <w:t xml:space="preserve">0.1535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管理层指引</w:t>
      </w:r>
      <w:r>
        <w:t xml:space="preserve"> Guidance: </w:t>
      </w:r>
      <w:r>
        <w:rPr>
          <w:rFonts w:hint="eastAsia"/>
        </w:rPr>
        <w:t xml:space="preserve">自动数据源不含指引——</w:t>
      </w:r>
      <w:r>
        <w:rPr>
          <w:rFonts w:hint="eastAsia"/>
          <w:b/>
          <w:bCs/>
        </w:rPr>
        <w:t xml:space="preserve">UNAVAILABLE（待从公司IR新闻稿录入）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下次财报日</w:t>
      </w:r>
      <w:r>
        <w:t xml:space="preserve"> (Yahoo, TENTATIVE </w:t>
      </w:r>
      <w:r>
        <w:rPr>
          <w:rFonts w:hint="eastAsia"/>
        </w:rPr>
        <w:t xml:space="preserve">直至公司确认):</w:t>
      </w:r>
      <w:r>
        <w:t xml:space="preserve"> </w:t>
      </w:r>
      <w:r>
        <w:rPr>
          <w:b/>
          <w:bCs/>
        </w:rPr>
        <w:t xml:space="preserve">2026-10-29</w:t>
      </w:r>
      <w:r>
        <w:rPr>
          <w:rFonts w:hint="eastAsia"/>
        </w:rPr>
        <w:t xml:space="preserve">；本季EPS一致预期</w:t>
      </w:r>
      <w:r>
        <w:t xml:space="preserve"> </w:t>
      </w:r>
      <w:r>
        <w:rPr>
          <w:rFonts w:hint="eastAsia"/>
        </w:rPr>
        <w:t xml:space="preserve">3.33339（9位分析师）；收入一致预期</w:t>
      </w:r>
      <w:r>
        <w:t xml:space="preserve"> 0.5 bn USD。</w:t>
      </w:r>
    </w:p>
    <w:bookmarkEnd w:id="13"/>
    <w:bookmarkStart w:id="14" w:name="未来2468季度驱动与价格合理性"/>
    <w:p>
      <w:pPr>
        <w:pStyle w:val="Heading2"/>
      </w:pPr>
      <w:r>
        <w:t xml:space="preserve">6. </w:t>
      </w:r>
      <w:r>
        <w:rPr>
          <w:rFonts w:hint="eastAsia"/>
        </w:rPr>
        <w:t xml:space="preserve">未来2/4/6/8季度驱动与价格合理性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期限价格现值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$-13.99</w:t>
            </w:r>
          </w:p>
        </w:tc>
        <w:tc>
          <w:tcPr/>
          <w:p>
            <w:pPr>
              <w:pStyle w:val="Compact"/>
            </w:pPr>
            <w:r>
              <w:t xml:space="preserve">-106.4%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$-13.64</w:t>
            </w:r>
          </w:p>
        </w:tc>
        <w:tc>
          <w:tcPr/>
          <w:p>
            <w:pPr>
              <w:pStyle w:val="Compact"/>
            </w:pPr>
            <w:r>
              <w:t xml:space="preserve">-106.2%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$-4.30</w:t>
            </w:r>
          </w:p>
        </w:tc>
        <w:tc>
          <w:tcPr/>
          <w:p>
            <w:pPr>
              <w:pStyle w:val="Compact"/>
            </w:pPr>
            <w:r>
              <w:t xml:space="preserve">-102.0%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$1.78</w:t>
            </w:r>
          </w:p>
        </w:tc>
        <w:tc>
          <w:tcPr/>
          <w:p>
            <w:pPr>
              <w:pStyle w:val="Compact"/>
            </w:pPr>
            <w:r>
              <w:t xml:space="preserve">-99.2%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$24.47</w:t>
            </w:r>
          </w:p>
        </w:tc>
        <w:tc>
          <w:tcPr/>
          <w:p>
            <w:pPr>
              <w:pStyle w:val="Compact"/>
            </w:pPr>
            <w:r>
              <w:t xml:space="preserve">-88.8%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$64.20</w:t>
            </w:r>
          </w:p>
        </w:tc>
        <w:tc>
          <w:tcPr/>
          <w:p>
            <w:pPr>
              <w:pStyle w:val="Compact"/>
            </w:pPr>
            <w:r>
              <w:t xml:space="preserve">-70.6%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$17.64</w:t>
            </w:r>
          </w:p>
        </w:tc>
        <w:tc>
          <w:tcPr/>
          <w:p>
            <w:pPr>
              <w:pStyle w:val="Compact"/>
            </w:pPr>
            <w:r>
              <w:t xml:space="preserve">-91.9%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$67.99</w:t>
            </w:r>
          </w:p>
        </w:tc>
        <w:tc>
          <w:tcPr/>
          <w:p>
            <w:pPr>
              <w:pStyle w:val="Compact"/>
            </w:pPr>
            <w:r>
              <w:t xml:space="preserve">-68.9%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$147.64</w:t>
            </w:r>
          </w:p>
        </w:tc>
        <w:tc>
          <w:tcPr/>
          <w:p>
            <w:pPr>
              <w:pStyle w:val="Compact"/>
            </w:pPr>
            <w:r>
              <w:t xml:space="preserve">-32.4%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$33.58</w:t>
            </w:r>
          </w:p>
        </w:tc>
        <w:tc>
          <w:tcPr/>
          <w:p>
            <w:pPr>
              <w:pStyle w:val="Compact"/>
            </w:pPr>
            <w:r>
              <w:t xml:space="preserve">-84.6%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$117.51</w:t>
            </w:r>
          </w:p>
        </w:tc>
        <w:tc>
          <w:tcPr/>
          <w:p>
            <w:pPr>
              <w:pStyle w:val="Compact"/>
            </w:pPr>
            <w:r>
              <w:t xml:space="preserve">-46.2%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$248.48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现价隐含的</w:t>
            </w:r>
            <w:r>
              <w:t xml:space="preserve"> EV/NTM-FCF (Base </w:t>
            </w:r>
            <w:r>
              <w:rPr>
                <w:rFonts w:hint="eastAsia"/>
              </w:rPr>
              <w:t xml:space="preserve">路径):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n/m (neg FCF)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197.5x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66.7x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36.3x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解读:</w:t>
      </w:r>
      <w:r>
        <w:t xml:space="preserve"> </w:t>
      </w:r>
      <w:r>
        <w:rPr>
          <w:rFonts w:hint="eastAsia"/>
        </w:rPr>
        <w:t xml:space="preserve">如果8季度后Base情景所需倍数仍远高于25x，说明价格依赖更远期的增长。</w:t>
      </w:r>
    </w:p>
    <w:bookmarkEnd w:id="14"/>
    <w:bookmarkStart w:id="15" w:name="三情景-bear-base-bull-hypothesis"/>
    <w:p>
      <w:pPr>
        <w:pStyle w:val="Heading2"/>
      </w:pPr>
      <w:r>
        <w:t xml:space="preserve">7. </w:t>
      </w:r>
      <w:r>
        <w:rPr>
          <w:rFonts w:hint="eastAsia"/>
        </w:rPr>
        <w:t xml:space="preserve">三情景</w:t>
      </w:r>
      <w:r>
        <w:t xml:space="preserve">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长期FCF率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永续g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每股价值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相对现价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14.4%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$59.08</w:t>
            </w:r>
          </w:p>
        </w:tc>
        <w:tc>
          <w:tcPr/>
          <w:p>
            <w:pPr>
              <w:pStyle w:val="Compact"/>
            </w:pPr>
            <w:r>
              <w:t xml:space="preserve">-72.9%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29.6%</w:t>
            </w:r>
          </w:p>
        </w:tc>
        <w:tc>
          <w:tcPr/>
          <w:p>
            <w:pPr>
              <w:pStyle w:val="Compact"/>
            </w:pPr>
            <w:r>
              <w:t xml:space="preserve">18.0%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$162.44</w:t>
            </w:r>
          </w:p>
        </w:tc>
        <w:tc>
          <w:tcPr/>
          <w:p>
            <w:pPr>
              <w:pStyle w:val="Compact"/>
            </w:pPr>
            <w:r>
              <w:t xml:space="preserve">-25.6%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$296.57</w:t>
            </w:r>
          </w:p>
        </w:tc>
        <w:tc>
          <w:tcPr/>
          <w:p>
            <w:pPr>
              <w:pStyle w:val="Compact"/>
            </w:pPr>
            <w:r>
              <w:t xml:space="preserve">35.8%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概率加权价值</w:t>
      </w:r>
      <w:r>
        <w:t xml:space="preserve"> </w:t>
      </w:r>
      <w:r>
        <w:rPr>
          <w:b/>
          <w:bCs/>
        </w:rPr>
        <w:t xml:space="preserve">$170.13</w:t>
      </w:r>
      <w:r>
        <w:rPr>
          <w:rFonts w:hint="eastAsia"/>
        </w:rPr>
        <w:t xml:space="preserve">（相对现价</w:t>
      </w:r>
      <w:r>
        <w:t xml:space="preserve"> </w:t>
      </w:r>
      <w:r>
        <w:rPr>
          <w:rFonts w:hint="eastAsia"/>
        </w:rPr>
        <w:t xml:space="preserve">-22.1%）。</w:t>
      </w:r>
    </w:p>
    <w:bookmarkEnd w:id="15"/>
    <w:bookmarkStart w:id="16" w:name="估值-dcf-reverse-dcf-roic-wacc-同业-敏感度"/>
    <w:p>
      <w:pPr>
        <w:pStyle w:val="Heading2"/>
      </w:pPr>
      <w:r>
        <w:t xml:space="preserve">8. </w:t>
      </w:r>
      <w:r>
        <w:rPr>
          <w:rFonts w:hint="eastAsia"/>
        </w:rPr>
        <w:t xml:space="preserve">估值:</w:t>
      </w:r>
      <w:r>
        <w:t xml:space="preserve"> DCF / Reverse DCF / ROIC-WACC / </w:t>
      </w:r>
      <w:r>
        <w:rPr>
          <w:rFonts w:hint="eastAsia"/>
        </w:rPr>
        <w:t xml:space="preserve">同业</w:t>
      </w:r>
      <w:r>
        <w:t xml:space="preserve"> / </w:t>
      </w:r>
      <w:r>
        <w:rPr>
          <w:rFonts w:hint="eastAsia"/>
        </w:rPr>
        <w:t xml:space="preserve">敏感度</w:t>
      </w:r>
    </w:p>
    <w:p>
      <w:pPr>
        <w:numPr>
          <w:ilvl w:val="0"/>
          <w:numId w:val="1005"/>
        </w:numPr>
      </w:pPr>
      <w:r>
        <w:t xml:space="preserve">DCF Base: EV 5.5 bn </w:t>
      </w:r>
      <w:r>
        <w:rPr>
          <w:rFonts w:hint="eastAsia"/>
        </w:rPr>
        <w:t xml:space="preserve">USD；终值占比</w:t>
      </w:r>
      <w:r>
        <w:t xml:space="preserve"> 55.5%。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Reverse DCF </w:t>
      </w:r>
      <w:r>
        <w:rPr>
          <w:rFonts w:hint="eastAsia"/>
          <w:b/>
          <w:bCs/>
        </w:rPr>
        <w:t xml:space="preserve">反向DCF</w:t>
      </w:r>
      <w:r>
        <w:t xml:space="preserve">: </w:t>
      </w:r>
      <w:r>
        <w:rPr>
          <w:rFonts w:hint="eastAsia"/>
        </w:rPr>
        <w:t xml:space="preserve">在Base利润率与WACC下，现价隐含Y1收入增速</w:t>
      </w:r>
      <w:r>
        <w:t xml:space="preserve"> ≈</w:t>
      </w:r>
      <w:r>
        <w:t xml:space="preserve"> </w:t>
      </w:r>
      <w:r>
        <w:rPr>
          <w:b/>
          <w:bCs/>
        </w:rPr>
        <w:t xml:space="preserve">37.4%</w:t>
      </w:r>
      <w:r>
        <w:rPr>
          <w:rFonts w:hint="eastAsia"/>
        </w:rPr>
        <w:t xml:space="preserve">；一致预期FY+1增速</w:t>
      </w:r>
      <w:r>
        <w:t xml:space="preserve"> 29.6%。</w:t>
      </w:r>
    </w:p>
    <w:p>
      <w:pPr>
        <w:numPr>
          <w:ilvl w:val="0"/>
          <w:numId w:val="1005"/>
        </w:numPr>
      </w:pPr>
      <w:r>
        <w:t xml:space="preserve">WACC (CAPM) = rf 5.2% + β 1.60 × ERP 5.0% = 13.2%。</w:t>
      </w:r>
    </w:p>
    <w:p>
      <w:pPr>
        <w:numPr>
          <w:ilvl w:val="0"/>
          <w:numId w:val="1005"/>
        </w:numPr>
      </w:pPr>
      <w:r>
        <w:t xml:space="preserve">SOTP segments </w:t>
      </w:r>
      <w:r>
        <w:rPr>
          <w:rFonts w:hint="eastAsia"/>
        </w:rPr>
        <w:t xml:space="preserve">分部:</w:t>
      </w:r>
      <w:r>
        <w:t xml:space="preserve">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其他.</w:t>
      </w:r>
      <w:r>
        <w:t xml:space="preserve"> </w:t>
      </w:r>
      <w:r>
        <w:rPr>
          <w:b/>
          <w:bCs/>
        </w:rPr>
        <w:t xml:space="preserve">Status: framework only</w:t>
      </w:r>
      <w:r>
        <w:t xml:space="preserve"> </w:t>
      </w:r>
      <w:r>
        <w:t xml:space="preserve">— segment revenues are INPUT REQUIRED from the latest 10-K/10-Q segment note (not auto-fed, left blank to avoid </w:t>
      </w:r>
      <w:r>
        <w:rPr>
          <w:rFonts w:hint="eastAsia"/>
        </w:rPr>
        <w:t xml:space="preserve">fabrication)｜分部收入需按最新财报手动录入，未自动填充以避免编造。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同业比较</w:t>
      </w:r>
      <w:r>
        <w:t xml:space="preserve"> Comps (DATA):</w:t>
      </w:r>
      <w:r>
        <w:t xml:space="preserve"> </w:t>
      </w:r>
      <w:r>
        <w:t xml:space="preserve">| Ticker | </w:t>
      </w:r>
      <w:r>
        <w:rPr>
          <w:rFonts w:hint="eastAsia"/>
        </w:rPr>
        <w:t xml:space="preserve">市值</w:t>
      </w:r>
      <w:r>
        <w:t xml:space="preserve"> | EV/Sales | Fwd P/E | </w:t>
      </w:r>
      <w:r>
        <w:rPr>
          <w:rFonts w:hint="eastAsia"/>
        </w:rPr>
        <w:t xml:space="preserve">收入增速</w:t>
      </w:r>
      <w:r>
        <w:t xml:space="preserve"> | </w:t>
      </w:r>
      <w:r>
        <w:rPr>
          <w:rFonts w:hint="eastAsia"/>
        </w:rPr>
        <w:t xml:space="preserve">毛利率</w:t>
      </w:r>
      <w:r>
        <w:t xml:space="preserve"> | </w:t>
      </w:r>
      <w:r>
        <w:rPr>
          <w:rFonts w:hint="eastAsia"/>
        </w:rPr>
        <w:t xml:space="preserve">FCF收益率</w:t>
      </w:r>
      <w:r>
        <w:t xml:space="preserve">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SIMO | 7.4 bn USD | 5.6x | 13.8x | 127.0% | 48.9% | -1.6% |</w:t>
      </w:r>
      <w:r>
        <w:t xml:space="preserve"> </w:t>
      </w:r>
      <w:r>
        <w:t xml:space="preserve">| MU | 1,053.6 bn USD | 7.6x | 4.6x | 379.3% | 80.7% | 2.8% |</w:t>
      </w:r>
      <w:r>
        <w:t xml:space="preserve"> </w:t>
      </w:r>
      <w:r>
        <w:t xml:space="preserve">| MRVL | 216.8 bn USD | 22.5x | 33.1x | 36.5% | 52.2% | 1.1% |</w:t>
      </w:r>
      <w:r>
        <w:t xml:space="preserve"> </w:t>
      </w:r>
      <w:r>
        <w:t xml:space="preserve">| 8299.TWO | 404.7 bn USD | 2.7x | 6.5x | 279.5% | 56.8% | -4.5% |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敏感度:</w:t>
      </w:r>
      <w:r>
        <w:t xml:space="preserve"> </w:t>
      </w:r>
      <w:r>
        <w:rPr>
          <w:rFonts w:hint="eastAsia"/>
        </w:rPr>
        <w:t xml:space="preserve">见Excel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rPr>
          <w:rFonts w:hint="eastAsia"/>
        </w:rPr>
        <w:t xml:space="preserve">表</w:t>
      </w:r>
      <w:r>
        <w:t xml:space="preserve"> (WACC × </w:t>
      </w:r>
      <w:r>
        <w:rPr>
          <w:rFonts w:hint="eastAsia"/>
        </w:rPr>
        <w:t xml:space="preserve">永续增长率)。</w:t>
      </w:r>
    </w:p>
    <w:bookmarkEnd w:id="16"/>
    <w:bookmarkStart w:id="17" w:name="风险反方论证与证伪"/>
    <w:p>
      <w:pPr>
        <w:pStyle w:val="Heading2"/>
      </w:pPr>
      <w:r>
        <w:t xml:space="preserve">9. </w:t>
      </w:r>
      <w:r>
        <w:rPr>
          <w:rFonts w:hint="eastAsia"/>
        </w:rPr>
        <w:t xml:space="preserve">风险、反方论证与证伪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反方观点</w:t>
      </w:r>
      <w:r>
        <w:t xml:space="preserve"> Counter-thesis: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证伪指标:</w:t>
      </w:r>
      <w:r>
        <w:t xml:space="preserve"> Enterprise SSD revenue fails to scale; GM </w:t>
      </w:r>
      <w:r>
        <w:rPr>
          <w:rFonts w:hint="eastAsia"/>
        </w:rPr>
        <w:t xml:space="preserve">&lt;45%｜企业级SSD未放量；毛利率&lt;45%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模型风险:</w:t>
      </w:r>
      <w:r>
        <w:t xml:space="preserve"> </w:t>
      </w:r>
      <w:r>
        <w:rPr>
          <w:rFonts w:hint="eastAsia"/>
        </w:rPr>
        <w:t xml:space="preserve">长期利润率与WACC为假设；终值占比高时估值对假设极敏感。</w:t>
      </w:r>
    </w:p>
    <w:bookmarkEnd w:id="17"/>
    <w:bookmarkStart w:id="18" w:name="source-ledger-来源账本"/>
    <w:p>
      <w:pPr>
        <w:pStyle w:val="Heading2"/>
      </w:pPr>
      <w:r>
        <w:t xml:space="preserve">10. Source Ledger </w:t>
      </w:r>
      <w:r>
        <w:rPr>
          <w:rFonts w:hint="eastAsia"/>
        </w:rPr>
        <w:t xml:space="preserve">来源账本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</w:t>
            </w:r>
            <w:r>
              <w:rPr>
                <w:rFonts w:hint="eastAsia"/>
              </w:rPr>
              <w:t xml:space="preserve">股价</w:t>
            </w:r>
          </w:p>
        </w:tc>
        <w:tc>
          <w:tcPr/>
          <w:p>
            <w:pPr>
              <w:pStyle w:val="Compact"/>
            </w:pPr>
            <w:r>
              <w:t xml:space="preserve">218.4</w:t>
            </w:r>
          </w:p>
        </w:tc>
        <w:tc>
          <w:tcPr/>
          <w:p>
            <w:pPr>
              <w:pStyle w:val="Compact"/>
            </w:pPr>
            <w:r>
              <w:t xml:space="preserve">Yahoo Finance quote, fetched 2026-10-16T07:56 SGT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cap </w:t>
            </w:r>
            <w:r>
              <w:rPr>
                <w:rFonts w:hint="eastAsia"/>
              </w:rPr>
              <w:t xml:space="preserve">市值</w:t>
            </w:r>
          </w:p>
        </w:tc>
        <w:tc>
          <w:tcPr/>
          <w:p>
            <w:pPr>
              <w:pStyle w:val="Compact"/>
            </w:pPr>
            <w:r>
              <w:t xml:space="preserve">7.405e+09</w:t>
            </w:r>
          </w:p>
        </w:tc>
        <w:tc>
          <w:tcPr/>
          <w:p>
            <w:pPr>
              <w:pStyle w:val="Compact"/>
            </w:pPr>
            <w:r>
              <w:t xml:space="preserve">Yahoo info.marketCap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</w:t>
            </w: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7.437e+07</w:t>
            </w:r>
          </w:p>
        </w:tc>
        <w:tc>
          <w:tcPr/>
          <w:p>
            <w:pPr>
              <w:pStyle w:val="Compact"/>
            </w:pPr>
            <w:r>
              <w:t xml:space="preserve">Yahoo info.totalCash (latest filing)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</w:t>
            </w:r>
            <w:r>
              <w:rPr>
                <w:rFonts w:hint="eastAsia"/>
              </w:rPr>
              <w:t xml:space="preserve">负债</w:t>
            </w:r>
          </w:p>
        </w:tc>
        <w:tc>
          <w:tcPr/>
          <w:p>
            <w:pPr>
              <w:pStyle w:val="Compact"/>
            </w:pPr>
            <w:r>
              <w:t xml:space="preserve">7.249e+07</w:t>
            </w:r>
          </w:p>
        </w:tc>
        <w:tc>
          <w:tcPr/>
          <w:p>
            <w:pPr>
              <w:pStyle w:val="Compact"/>
            </w:pPr>
            <w:r>
              <w:t xml:space="preserve">Yahoo info.totalDebt (latest filing)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TTM </w:t>
            </w:r>
            <w:r>
              <w:rPr>
                <w:rFonts w:hint="eastAsia"/>
              </w:rPr>
              <w:t xml:space="preserve">收入</w:t>
            </w:r>
          </w:p>
        </w:tc>
        <w:tc>
          <w:tcPr/>
          <w:p>
            <w:pPr>
              <w:pStyle w:val="Compact"/>
            </w:pPr>
            <w:r>
              <w:t xml:space="preserve">1.314e+09</w:t>
            </w:r>
          </w:p>
        </w:tc>
        <w:tc>
          <w:tcPr/>
          <w:p>
            <w:pPr>
              <w:pStyle w:val="Compact"/>
            </w:pPr>
            <w:r>
              <w:t xml:space="preserve">Yahoo info.totalRevenue (TTM, USD) 2026-10-16T07:56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 TTM </w:t>
            </w:r>
            <w:r>
              <w:rPr>
                <w:rFonts w:hint="eastAsia"/>
              </w:rPr>
              <w:t xml:space="preserve">自由现金流</w:t>
            </w:r>
          </w:p>
        </w:tc>
        <w:tc>
          <w:tcPr/>
          <w:p>
            <w:pPr>
              <w:pStyle w:val="Compact"/>
            </w:pPr>
            <w:r>
              <w:t xml:space="preserve">-1.204e+08</w:t>
            </w:r>
          </w:p>
        </w:tc>
        <w:tc>
          <w:tcPr/>
          <w:p>
            <w:pPr>
              <w:pStyle w:val="Compact"/>
            </w:pPr>
            <w:r>
              <w:t xml:space="preserve">Sum of last 4 quarterly FCF (q_cash); quarters [</w:t>
            </w:r>
            <w:r>
              <w:t xml:space="preserve">‘2026-06-30’</w:t>
            </w:r>
            <w:r>
              <w:t xml:space="preserve">,</w:t>
            </w:r>
            <w:r>
              <w:t xml:space="preserve"> </w:t>
            </w:r>
            <w:r>
              <w:t xml:space="preserve">‘2026-03-31’</w:t>
            </w:r>
            <w:r>
              <w:t xml:space="preserve">,</w:t>
            </w:r>
            <w:r>
              <w:t xml:space="preserve"> </w:t>
            </w:r>
            <w:r>
              <w:t xml:space="preserve">‘2025-12-31’</w:t>
            </w:r>
            <w:r>
              <w:t xml:space="preserve">,</w:t>
            </w:r>
            <w:r>
              <w:t xml:space="preserve"> </w:t>
            </w:r>
            <w:r>
              <w:t xml:space="preserve">‘2025-09-30’</w:t>
            </w:r>
            <w:r>
              <w:t xml:space="preserve">]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1.682</w:t>
            </w:r>
          </w:p>
        </w:tc>
        <w:tc>
          <w:tcPr/>
          <w:p>
            <w:pPr>
              <w:pStyle w:val="Compact"/>
            </w:pPr>
            <w:r>
              <w:t xml:space="preserve">Yahoo info.beta (5Y 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Risk-free 10Y </w:t>
            </w:r>
            <w:r>
              <w:rPr>
                <w:rFonts w:hint="eastAsia"/>
              </w:rPr>
              <w:t xml:space="preserve">无风险利率</w:t>
            </w:r>
          </w:p>
        </w:tc>
        <w:tc>
          <w:tcPr/>
          <w:p>
            <w:pPr>
              <w:pStyle w:val="Compact"/>
            </w:pPr>
            <w:r>
              <w:t xml:space="preserve">0.0519</w:t>
            </w:r>
          </w:p>
        </w:tc>
        <w:tc>
          <w:tcPr/>
          <w:p>
            <w:pPr>
              <w:pStyle w:val="Compact"/>
            </w:pPr>
            <w:r>
              <w:t xml:space="preserve">FRED DGS10 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USD per USD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n/a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FY0</w:t>
            </w:r>
          </w:p>
        </w:tc>
        <w:tc>
          <w:tcPr/>
          <w:p>
            <w:pPr>
              <w:pStyle w:val="Compact"/>
            </w:pPr>
            <w:r>
              <w:t xml:space="preserve">1.117</w:t>
            </w:r>
          </w:p>
        </w:tc>
        <w:tc>
          <w:tcPr/>
          <w:p>
            <w:pPr>
              <w:pStyle w:val="Compact"/>
            </w:pPr>
            <w:r>
              <w:t xml:space="preserve">Yahoo revenue_estimate 0y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 rev growth FY+1</w:t>
            </w:r>
          </w:p>
        </w:tc>
        <w:tc>
          <w:tcPr/>
          <w:p>
            <w:pPr>
              <w:pStyle w:val="Compact"/>
            </w:pPr>
            <w:r>
              <w:t xml:space="preserve">0.2964</w:t>
            </w:r>
          </w:p>
        </w:tc>
        <w:tc>
          <w:tcPr/>
          <w:p>
            <w:pPr>
              <w:pStyle w:val="Compact"/>
            </w:pPr>
            <w:r>
              <w:t xml:space="preserve">Yahoo revenue_estimate +1y</w:t>
            </w:r>
          </w:p>
        </w:tc>
      </w:tr>
    </w:tbl>
    <w:bookmarkEnd w:id="18"/>
    <w:bookmarkStart w:id="19" w:name="assumption-register-假设登记表"/>
    <w:p>
      <w:pPr>
        <w:pStyle w:val="Heading2"/>
      </w:pPr>
      <w:r>
        <w:t xml:space="preserve">11. Assumption Register </w:t>
      </w:r>
      <w:r>
        <w:rPr>
          <w:rFonts w:hint="eastAsia"/>
        </w:rPr>
        <w:t xml:space="preserve">假设登记表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</w:t>
            </w:r>
            <w:r>
              <w:rPr>
                <w:rFonts w:hint="eastAsia"/>
              </w:rPr>
              <w:t xml:space="preserve">股权风险溢价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ASSUMPTION: 5.0% house mature-market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clamp</w:t>
            </w:r>
          </w:p>
        </w:tc>
        <w:tc>
          <w:tcPr/>
          <w:p>
            <w:pPr>
              <w:pStyle w:val="Compact"/>
            </w:pPr>
            <w:r>
              <w:t xml:space="preserve">[0.8,1.6] → 1.60</w:t>
            </w:r>
          </w:p>
        </w:tc>
        <w:tc>
          <w:tcPr/>
          <w:p>
            <w:pPr>
              <w:pStyle w:val="Compact"/>
            </w:pPr>
            <w:r>
              <w:t xml:space="preserve">ASSUMPTION: limit extreme betas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rate (ROIC)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ASSUMPTION: blended cash tax 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growth (Base)</w:t>
            </w:r>
          </w:p>
        </w:tc>
        <w:tc>
          <w:tcPr/>
          <w:p>
            <w:pPr>
              <w:pStyle w:val="Compact"/>
            </w:pPr>
            <w:r>
              <w:t xml:space="preserve">0.2964</w:t>
            </w:r>
          </w:p>
        </w:tc>
        <w:tc>
          <w:tcPr/>
          <w:p>
            <w:pPr>
              <w:pStyle w:val="Compact"/>
            </w:pPr>
            <w:r>
              <w:t xml:space="preserve">Consensus FY+1 revenue growth (Yahoo revenue_estimate</w:t>
            </w:r>
            <w:r>
              <w:t xml:space="preserve"> </w:t>
            </w:r>
            <w:r>
              <w:t xml:space="preserve">‘+1y’</w:t>
            </w:r>
            <w:r>
              <w:t xml:space="preserve">); capped at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fade</w:t>
            </w:r>
          </w:p>
        </w:tc>
        <w:tc>
          <w:tcPr/>
          <w:p>
            <w:pPr>
              <w:pStyle w:val="Compact"/>
            </w:pPr>
            <w:r>
              <w:t xml:space="preserve">linear Y1→terminal by Y10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FCF margin</w:t>
            </w:r>
          </w:p>
        </w:tc>
        <w:tc>
          <w:tcPr/>
          <w:p>
            <w:pPr>
              <w:pStyle w:val="Compact"/>
            </w:pPr>
            <w:r>
              <w:t xml:space="preserve">-0.0917</w:t>
            </w:r>
          </w:p>
        </w:tc>
        <w:tc>
          <w:tcPr/>
          <w:p>
            <w:pPr>
              <w:pStyle w:val="Compact"/>
            </w:pPr>
            <w:r>
              <w:t xml:space="preserve">DATA: FCF TTM / Revenue TTM, floored 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 FCF margin (Base)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ASSUMPTION (analyst framework, reached by Y5; see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Y1 growth multiplier</w:t>
            </w:r>
          </w:p>
        </w:tc>
        <w:tc>
          <w:tcPr/>
          <w:p>
            <w:pPr>
              <w:pStyle w:val="Compact"/>
            </w:pPr>
            <w:r>
              <w:t xml:space="preserve">0.5x / 1.3x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Bear/Bull margin multiplier</w:t>
            </w:r>
          </w:p>
        </w:tc>
        <w:tc>
          <w:tcPr/>
          <w:p>
            <w:pPr>
              <w:pStyle w:val="Compact"/>
            </w:pPr>
            <w:r>
              <w:t xml:space="preserve">0.8x / 1.15x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WACC adj Bear/Bull</w:t>
            </w:r>
          </w:p>
        </w:tc>
        <w:tc>
          <w:tcPr/>
          <w:p>
            <w:pPr>
              <w:pStyle w:val="Compact"/>
            </w:pPr>
            <w:r>
              <w:t xml:space="preserve">+1.0pp / -0.5pp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 Bear/Base/Bull</w:t>
            </w:r>
          </w:p>
        </w:tc>
        <w:tc>
          <w:tcPr/>
          <w:p>
            <w:pPr>
              <w:pStyle w:val="Compact"/>
            </w:pPr>
            <w:r>
              <w:t xml:space="preserve">2.5% / 3.0% / 3.5%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probabilities</w:t>
            </w:r>
          </w:p>
        </w:tc>
        <w:tc>
          <w:tcPr/>
          <w:p>
            <w:pPr>
              <w:pStyle w:val="Compact"/>
            </w:pPr>
            <w:r>
              <w:t xml:space="preserve">25% / 50% / 25%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exit EV/NTM-FCF Bear/Base/Bull</w:t>
            </w:r>
          </w:p>
        </w:tc>
        <w:tc>
          <w:tcPr/>
          <w:p>
            <w:pPr>
              <w:pStyle w:val="Compact"/>
            </w:pPr>
            <w:r>
              <w:t xml:space="preserve">15x / 25x / 35x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Per-share conversion</w:t>
            </w:r>
          </w:p>
        </w:tc>
        <w:tc>
          <w:tcPr/>
          <w:p>
            <w:pPr>
              <w:pStyle w:val="Compact"/>
            </w:pPr>
            <w:r>
              <w:t xml:space="preserve">value × fx ÷ market cap × price</w:t>
            </w:r>
          </w:p>
        </w:tc>
        <w:tc>
          <w:tcPr/>
          <w:p>
            <w:pPr>
              <w:pStyle w:val="Compact"/>
            </w:pPr>
            <w:r>
              <w:t xml:space="preserve">METHOD: avoids ADR/share-class mismatch</w:t>
            </w:r>
          </w:p>
        </w:tc>
      </w:tr>
    </w:tbl>
    <w:bookmarkEnd w:id="19"/>
    <w:bookmarkStart w:id="20" w:name="model-provenance-模型溯源"/>
    <w:p>
      <w:pPr>
        <w:pStyle w:val="Heading2"/>
      </w:pPr>
      <w:r>
        <w:t xml:space="preserve">12. Model Provenance </w:t>
      </w:r>
      <w:r>
        <w:rPr>
          <w:rFonts w:hint="eastAsia"/>
        </w:rPr>
        <w:t xml:space="preserve">模型溯源</w:t>
      </w:r>
    </w:p>
    <w:p>
      <w:pPr>
        <w:pStyle w:val="Compact"/>
        <w:numPr>
          <w:ilvl w:val="0"/>
          <w:numId w:val="1007"/>
        </w:numPr>
      </w:pPr>
      <w:r>
        <w:t xml:space="preserve">Model file:</w:t>
      </w:r>
      <w:r>
        <w:t xml:space="preserve"> </w:t>
      </w:r>
      <w:r>
        <w:rPr>
          <w:rStyle w:val="VerbatimChar"/>
        </w:rPr>
        <w:t xml:space="preserve">SIMO_model_v20261016-0756.xlsx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</w:p>
    <w:p>
      <w:pPr>
        <w:pStyle w:val="Compact"/>
        <w:numPr>
          <w:ilvl w:val="0"/>
          <w:numId w:val="1007"/>
        </w:numPr>
      </w:pPr>
      <w:r>
        <w:t xml:space="preserve">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</w:p>
    <w:p>
      <w:pPr>
        <w:pStyle w:val="Compact"/>
        <w:numPr>
          <w:ilvl w:val="0"/>
          <w:numId w:val="1007"/>
        </w:numPr>
      </w:pPr>
      <w:r>
        <w:t xml:space="preserve">Data snapshot:</w:t>
      </w:r>
      <w:r>
        <w:t xml:space="preserve"> </w:t>
      </w:r>
      <w:r>
        <w:rPr>
          <w:rStyle w:val="VerbatimChar"/>
        </w:rPr>
        <w:t xml:space="preserve">data/snapshots/20261016-0756</w:t>
      </w:r>
      <w:r>
        <w:t xml:space="preserve"> </w:t>
      </w:r>
      <w:r>
        <w:t xml:space="preserve">(immutable) | Fetched 2026-10-16 07:56 SGT | Generated 2026-10-16 07:57 SGT</w:t>
      </w:r>
    </w:p>
    <w:p>
      <w:pPr>
        <w:pStyle w:val="Compact"/>
        <w:numPr>
          <w:ilvl w:val="0"/>
          <w:numId w:val="1007"/>
        </w:numPr>
      </w:pPr>
      <w:r>
        <w:t xml:space="preserve">Version: v20261016-0756. Prior versions are never overwritten (see company history page).</w:t>
      </w:r>
    </w:p>
    <w:bookmarkEnd w:id="20"/>
    <w:bookmarkStart w:id="21" w:name="版本与事件时间轴"/>
    <w:p>
      <w:pPr>
        <w:pStyle w:val="Heading2"/>
      </w:pPr>
      <w:r>
        <w:t xml:space="preserve">13. </w:t>
      </w:r>
      <w:r>
        <w:rPr>
          <w:rFonts w:hint="eastAsia"/>
        </w:rPr>
        <w:t xml:space="preserve">版本与事件时间轴</w:t>
      </w:r>
    </w:p>
    <w:p>
      <w:pPr>
        <w:pStyle w:val="Compact"/>
        <w:numPr>
          <w:ilvl w:val="0"/>
          <w:numId w:val="1008"/>
        </w:numPr>
      </w:pPr>
      <w:r>
        <w:t xml:space="preserve">v20261016-0756: </w:t>
      </w:r>
      <w:r>
        <w:rPr>
          <w:rFonts w:hint="eastAsia"/>
        </w:rPr>
        <w:t xml:space="preserve">首版生产系统报告</w:t>
      </w:r>
      <w:r>
        <w:t xml:space="preserve"> </w:t>
      </w:r>
      <w:r>
        <w:rPr>
          <w:rFonts w:hint="eastAsia"/>
        </w:rPr>
        <w:t xml:space="preserve">(27家同步)。下一事件:</w:t>
      </w:r>
      <w:r>
        <w:t xml:space="preserve"> </w:t>
      </w:r>
      <w:r>
        <w:rPr>
          <w:rFonts w:hint="eastAsia"/>
        </w:rPr>
        <w:t xml:space="preserve">财报</w:t>
      </w:r>
      <w:r>
        <w:t xml:space="preserve"> 2026-10-29 (TENTATIVE)。</w:t>
      </w:r>
    </w:p>
    <w:bookmarkEnd w:id="21"/>
    <w:bookmarkStart w:id="37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1_price_vs_value" title="" id="23" name="Picture"/>
            <a:graphic>
              <a:graphicData uri="http://schemas.openxmlformats.org/drawingml/2006/picture">
                <pic:pic>
                  <pic:nvPicPr>
                    <pic:cNvPr descr="images/SIMO_1_price_vs_valu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1_price_vs_value</w:t>
      </w:r>
    </w:p>
    <w:p>
      <w:pPr>
        <w:pStyle w:val="BodyText"/>
      </w:pPr>
      <w:r>
        <w:rPr>
          <w:rFonts w:hint="eastAsia"/>
          <w:i/>
          <w:iCs/>
        </w:rPr>
        <w:t xml:space="preserve">股价vs三情景价值</w:t>
      </w:r>
      <w:r>
        <w:rPr>
          <w:i/>
          <w:iCs/>
        </w:rPr>
        <w:t xml:space="preserve"> Price vs scenario values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2_financials" title="" id="26" name="Picture"/>
            <a:graphic>
              <a:graphicData uri="http://schemas.openxmlformats.org/drawingml/2006/picture">
                <pic:pic>
                  <pic:nvPicPr>
                    <pic:cNvPr descr="images/SIMO_2_financia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2_financials</w:t>
      </w:r>
    </w:p>
    <w:p>
      <w:pPr>
        <w:pStyle w:val="BodyText"/>
      </w:pPr>
      <w:r>
        <w:rPr>
          <w:rFonts w:hint="eastAsia"/>
          <w:i/>
          <w:iCs/>
        </w:rPr>
        <w:t xml:space="preserve">季度财务</w:t>
      </w:r>
      <w:r>
        <w:rPr>
          <w:i/>
          <w:iCs/>
        </w:rPr>
        <w:t xml:space="preserve"> Quarterly financials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3_scenarios" title="" id="29" name="Picture"/>
            <a:graphic>
              <a:graphicData uri="http://schemas.openxmlformats.org/drawingml/2006/picture">
                <pic:pic>
                  <pic:nvPicPr>
                    <pic:cNvPr descr="images/SIMO_3_scenari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3_scenarios</w:t>
      </w:r>
    </w:p>
    <w:p>
      <w:pPr>
        <w:pStyle w:val="BodyText"/>
      </w:pPr>
      <w:r>
        <w:rPr>
          <w:rFonts w:hint="eastAsia"/>
          <w:i/>
          <w:iCs/>
        </w:rPr>
        <w:t xml:space="preserve">三情景</w:t>
      </w:r>
      <w:r>
        <w:rPr>
          <w:i/>
          <w:iCs/>
        </w:rPr>
        <w:t xml:space="preserve"> Scenarios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4_horizons" title="" id="32" name="Picture"/>
            <a:graphic>
              <a:graphicData uri="http://schemas.openxmlformats.org/drawingml/2006/picture">
                <pic:pic>
                  <pic:nvPicPr>
                    <pic:cNvPr descr="images/SIMO_4_horizon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4_horizons</w:t>
      </w:r>
    </w:p>
    <w:p>
      <w:pPr>
        <w:pStyle w:val="BodyText"/>
      </w:pPr>
      <w:r>
        <w:rPr>
          <w:rFonts w:hint="eastAsia"/>
          <w:i/>
          <w:iCs/>
        </w:rPr>
        <w:t xml:space="preserve">2/4/6/8季度检验</w:t>
      </w:r>
      <w:r>
        <w:rPr>
          <w:i/>
          <w:iCs/>
        </w:rPr>
        <w:t xml:space="preserve"> Horizon check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5_logic_map" title="" id="35" name="Picture"/>
            <a:graphic>
              <a:graphicData uri="http://schemas.openxmlformats.org/drawingml/2006/picture">
                <pic:pic>
                  <pic:nvPicPr>
                    <pic:cNvPr descr="images/SIMO_5_logic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5_logic_map</w:t>
      </w:r>
    </w:p>
    <w:p>
      <w:pPr>
        <w:pStyle w:val="BodyText"/>
      </w:pPr>
      <w:r>
        <w:rPr>
          <w:rFonts w:hint="eastAsia"/>
          <w:i/>
          <w:iCs/>
        </w:rPr>
        <w:t xml:space="preserve">研究逻辑图</w:t>
      </w:r>
      <w:r>
        <w:rPr>
          <w:i/>
          <w:iCs/>
        </w:rPr>
        <w:t xml:space="preserve"> Logic map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Xa23bfd40e7a1fceb482a2ed6e82948ca95ee4fc"/>
    <w:p>
      <w:pPr>
        <w:pStyle w:val="Heading1"/>
      </w:pPr>
      <w:r>
        <w:t xml:space="preserve">SIMO Silicon Motion Technology Corporation — Equity Deep Dive (Professional English) v20261016-0756</w:t>
      </w:r>
    </w:p>
    <w:p>
      <w:pPr>
        <w:pStyle w:val="BlockText"/>
      </w:pPr>
      <w:r>
        <w:t xml:space="preserve">Data as of 2026-10-16 07:56 SGT | Price $218.39 | Mkt cap 7.4 bn USD | Reporting currency USD | Not investment advice.</w:t>
      </w:r>
    </w:p>
    <w:bookmarkStart w:id="39" w:name="investment-thesis-hypothesis"/>
    <w:p>
      <w:pPr>
        <w:pStyle w:val="Heading2"/>
      </w:pPr>
      <w:r>
        <w:t xml:space="preserve">1. Investment thesis (HYPOTHESIS)</w:t>
      </w:r>
    </w:p>
    <w:p>
      <w:pPr>
        <w:pStyle w:val="FirstParagraph"/>
      </w:pPr>
      <w:r>
        <w:t xml:space="preserve">Silicon Motion is a</w:t>
      </w:r>
      <w:r>
        <w:t xml:space="preserve"> </w:t>
      </w:r>
      <w:r>
        <w:t xml:space="preserve">‘picks-and-shovels’</w:t>
      </w:r>
      <w:r>
        <w:t xml:space="preserve"> </w:t>
      </w:r>
      <w:r>
        <w:t xml:space="preserve">play on the NAND cycle and AI enterprise SSDs; revenue is highly elastic and benefits from NAND upcycles and spec upgrades. Note negative FCF in latest data period.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Bull drivers</w:t>
      </w:r>
      <w:r>
        <w:t xml:space="preserve">: Enterprise SSD (MonTitan) wins; PCIe Gen5/6 </w:t>
      </w:r>
      <w:r>
        <w:rPr>
          <w:rFonts w:hint="eastAsia"/>
        </w:rPr>
        <w:t xml:space="preserve">mix｜企业级SSD获单；PCIe</w:t>
      </w:r>
      <w:r>
        <w:t xml:space="preserve"> </w:t>
      </w:r>
      <w:r>
        <w:rPr>
          <w:rFonts w:hint="eastAsia"/>
        </w:rPr>
        <w:t xml:space="preserve">5/6升级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Bear drivers</w:t>
      </w:r>
      <w:r>
        <w:t xml:space="preserve">: NAND makers in-source controllers; cycle </w:t>
      </w:r>
      <w:r>
        <w:rPr>
          <w:rFonts w:hint="eastAsia"/>
        </w:rPr>
        <w:t xml:space="preserve">reverses｜原厂自研主控；周期反转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Falsifiers</w:t>
      </w:r>
      <w:r>
        <w:t xml:space="preserve">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39"/>
    <w:bookmarkStart w:id="40" w:name="products-customers-revenue-model"/>
    <w:p>
      <w:pPr>
        <w:pStyle w:val="Heading2"/>
      </w:pPr>
      <w:r>
        <w:t xml:space="preserve">2. Products, customers, revenue model</w:t>
      </w:r>
    </w:p>
    <w:p>
      <w:pPr>
        <w:pStyle w:val="Compact"/>
        <w:numPr>
          <w:ilvl w:val="0"/>
          <w:numId w:val="1010"/>
        </w:numPr>
      </w:pPr>
      <w:r>
        <w:t xml:space="preserve">Theme: NAND/SSD controllers </w:t>
      </w:r>
      <w:r>
        <w:rPr>
          <w:rFonts w:hint="eastAsia"/>
        </w:rPr>
        <w:t xml:space="preserve">存储控制器</w:t>
      </w:r>
      <w:r>
        <w:t xml:space="preserve"> | Segments: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</w:t>
      </w:r>
    </w:p>
    <w:p>
      <w:pPr>
        <w:pStyle w:val="Compact"/>
        <w:numPr>
          <w:ilvl w:val="0"/>
          <w:numId w:val="1010"/>
        </w:numPr>
      </w:pPr>
      <w:r>
        <w:t xml:space="preserve">Business description (DATA): Silicon Motion Technology Corporation, together with its subsidiaries, designs, develops, and markets NAND flash controllers for solid-state storage devices and related devices in China, Japan, Singapore, Taiwan, Korea, the United States, and internationally. It offers controllers for computing-grade solid state drives (SSDs), which are used in PCs and other client devices; enterprise-grade SSDs used in enterprise and hyperscale data centers; eMMC and UFS mobile embedded storage for use in smartphones and IoT devices; flash memory cards and flash drives for use in expandable storage; and specialized SSDs that are used in industrial, commercial, and automotive applications. The company markets its controllers under the SMI brand; and single-chip SSDs under the FerriSSD, Ferri-eMMC, and Ferri-UFS brands. It markets and sells its products through direct sales personnel and independent elect</w:t>
      </w:r>
    </w:p>
    <w:p>
      <w:pPr>
        <w:pStyle w:val="Compact"/>
        <w:numPr>
          <w:ilvl w:val="0"/>
          <w:numId w:val="1010"/>
        </w:numPr>
      </w:pPr>
      <w:r>
        <w:t xml:space="preserve">Customers: Samsung, SK hynix, Micron, Kioxia/SanDisk, YMTC, module </w:t>
      </w:r>
      <w:r>
        <w:rPr>
          <w:rFonts w:hint="eastAsia"/>
        </w:rPr>
        <w:t xml:space="preserve">makers｜各NAND原厂与模组厂</w:t>
      </w:r>
    </w:p>
    <w:bookmarkEnd w:id="40"/>
    <w:bookmarkStart w:id="41" w:name="Xf7e0eebfce2361ef4d938640eaa3e4cf812446c"/>
    <w:p>
      <w:pPr>
        <w:pStyle w:val="Heading2"/>
      </w:pPr>
      <w:r>
        <w:t xml:space="preserve">3. Industry, competition, regulation, supply chain (ANALYST FRAMEWORK)</w:t>
      </w:r>
    </w:p>
    <w:p>
      <w:pPr>
        <w:pStyle w:val="Compact"/>
        <w:numPr>
          <w:ilvl w:val="0"/>
          <w:numId w:val="1011"/>
        </w:numPr>
      </w:pPr>
      <w:r>
        <w:t xml:space="preserve">Suppliers: TSMC (controller wafers), </w:t>
      </w:r>
      <w:r>
        <w:rPr>
          <w:rFonts w:hint="eastAsia"/>
        </w:rPr>
        <w:t xml:space="preserve">OSATs｜台积电、封测厂</w:t>
      </w:r>
    </w:p>
    <w:p>
      <w:pPr>
        <w:pStyle w:val="Compact"/>
        <w:numPr>
          <w:ilvl w:val="0"/>
          <w:numId w:val="1011"/>
        </w:numPr>
      </w:pPr>
      <w:r>
        <w:t xml:space="preserve">Competitors: Phison, Marvell, Samsung/WD in-house </w:t>
      </w:r>
      <w:r>
        <w:rPr>
          <w:rFonts w:hint="eastAsia"/>
        </w:rPr>
        <w:t xml:space="preserve">controllers｜群联、Marvell、原厂自研</w:t>
      </w:r>
    </w:p>
    <w:p>
      <w:pPr>
        <w:pStyle w:val="Compact"/>
        <w:numPr>
          <w:ilvl w:val="0"/>
          <w:numId w:val="1011"/>
        </w:numPr>
      </w:pPr>
      <w:r>
        <w:t xml:space="preserve">Bottlenecks/regulation: NAND bit growth, enterprise SSD controller design </w:t>
      </w:r>
      <w:r>
        <w:rPr>
          <w:rFonts w:hint="eastAsia"/>
        </w:rPr>
        <w:t xml:space="preserve">wins｜NAND位元增长、企业级SSD主控订单</w:t>
      </w:r>
    </w:p>
    <w:p>
      <w:pPr>
        <w:pStyle w:val="Compact"/>
        <w:numPr>
          <w:ilvl w:val="0"/>
          <w:numId w:val="1011"/>
        </w:numPr>
      </w:pPr>
      <w:r>
        <w:t xml:space="preserve">KPIs: Revenue by segment, GM%, enterprise SSD </w:t>
      </w:r>
      <w:r>
        <w:rPr>
          <w:rFonts w:hint="eastAsia"/>
        </w:rPr>
        <w:t xml:space="preserve">wins｜分业务收入、毛利率、企业级订单</w:t>
      </w:r>
    </w:p>
    <w:p>
      <w:pPr>
        <w:pStyle w:val="Compact"/>
        <w:numPr>
          <w:ilvl w:val="0"/>
          <w:numId w:val="1011"/>
        </w:numPr>
      </w:pPr>
      <w:r>
        <w:t xml:space="preserve">Component spot/contract prices: paid feeds not connected —</w:t>
      </w:r>
      <w:r>
        <w:t xml:space="preserve"> </w:t>
      </w:r>
      <w:r>
        <w:rPr>
          <w:b/>
          <w:bCs/>
        </w:rPr>
        <w:t xml:space="preserve">UNAVAILABLE</w:t>
      </w:r>
      <w:r>
        <w:t xml:space="preserve">, tracked qualitatively.</w:t>
      </w:r>
    </w:p>
    <w:bookmarkEnd w:id="41"/>
    <w:bookmarkStart w:id="42" w:name="Xf82d66d225d90b4cba8a47757a9fbb4df26318d"/>
    <w:p>
      <w:pPr>
        <w:pStyle w:val="Heading2"/>
      </w:pPr>
      <w:r>
        <w:t xml:space="preserve">4. Historical financials &amp; cash flow (CONFIRMED, quarterly, USD)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Op income</w:t>
            </w:r>
          </w:p>
        </w:tc>
        <w:tc>
          <w:tcPr/>
          <w:p>
            <w:pPr>
              <w:pStyle w:val="Compact"/>
            </w:pPr>
            <w:r>
              <w:t xml:space="preserve">Net income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Op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0.5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-71.5 mn USD</w:t>
            </w:r>
          </w:p>
        </w:tc>
        <w:tc>
          <w:tcPr/>
          <w:p>
            <w:pPr>
              <w:pStyle w:val="Compact"/>
            </w:pPr>
            <w:r>
              <w:t xml:space="preserve">22.4%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52.2 mn USD</w:t>
            </w:r>
          </w:p>
        </w:tc>
        <w:tc>
          <w:tcPr/>
          <w:p>
            <w:pPr>
              <w:pStyle w:val="Compact"/>
            </w:pPr>
            <w:r>
              <w:t xml:space="preserve">66.8 mn USD</w:t>
            </w:r>
          </w:p>
        </w:tc>
        <w:tc>
          <w:tcPr/>
          <w:p>
            <w:pPr>
              <w:pStyle w:val="Compact"/>
            </w:pPr>
            <w:r>
              <w:t xml:space="preserve">-49.4 mn USD</w:t>
            </w:r>
          </w:p>
        </w:tc>
        <w:tc>
          <w:tcPr/>
          <w:p>
            <w:pPr>
              <w:pStyle w:val="Compact"/>
            </w:pPr>
            <w:r>
              <w:t xml:space="preserve">15.3%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0.3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31.7 mn USD</w:t>
            </w:r>
          </w:p>
        </w:tc>
        <w:tc>
          <w:tcPr/>
          <w:p>
            <w:pPr>
              <w:pStyle w:val="Compact"/>
            </w:pPr>
            <w:r>
              <w:t xml:space="preserve">47.7 mn USD</w:t>
            </w:r>
          </w:p>
        </w:tc>
        <w:tc>
          <w:tcPr/>
          <w:p>
            <w:pPr>
              <w:pStyle w:val="Compact"/>
            </w:pPr>
            <w:r>
              <w:t xml:space="preserve">-6.3 mn USD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0.1 bn USD</w:t>
            </w:r>
          </w:p>
        </w:tc>
        <w:tc>
          <w:tcPr/>
          <w:p>
            <w:pPr>
              <w:pStyle w:val="Compact"/>
            </w:pPr>
            <w:r>
              <w:t xml:space="preserve">29.2 mn USD</w:t>
            </w:r>
          </w:p>
        </w:tc>
        <w:tc>
          <w:tcPr/>
          <w:p>
            <w:pPr>
              <w:pStyle w:val="Compact"/>
            </w:pPr>
            <w:r>
              <w:t xml:space="preserve">39.1 mn USD</w:t>
            </w:r>
          </w:p>
        </w:tc>
        <w:tc>
          <w:tcPr/>
          <w:p>
            <w:pPr>
              <w:pStyle w:val="Compact"/>
            </w:pPr>
            <w:r>
              <w:t xml:space="preserve">6.8 mn USD</w:t>
            </w:r>
          </w:p>
        </w:tc>
        <w:tc>
          <w:tcPr/>
          <w:p>
            <w:pPr>
              <w:pStyle w:val="Compact"/>
            </w:pPr>
            <w:r>
              <w:t xml:space="preserve">12.1%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2025-06-30</w:t>
            </w:r>
          </w:p>
        </w:tc>
        <w:tc>
          <w:tcPr/>
          <w:p>
            <w:pPr>
              <w:pStyle w:val="Compact"/>
            </w:pPr>
            <w:r>
              <w:t xml:space="preserve">0.2 bn USD</w:t>
            </w:r>
          </w:p>
        </w:tc>
        <w:tc>
          <w:tcPr/>
          <w:p>
            <w:pPr>
              <w:pStyle w:val="Compact"/>
            </w:pPr>
            <w:r>
              <w:t xml:space="preserve">94.7 mn USD</w:t>
            </w:r>
          </w:p>
        </w:tc>
        <w:tc>
          <w:tcPr/>
          <w:p>
            <w:pPr>
              <w:pStyle w:val="Compact"/>
            </w:pPr>
            <w:r>
              <w:t xml:space="preserve">22.3 mn USD</w:t>
            </w:r>
          </w:p>
        </w:tc>
        <w:tc>
          <w:tcPr/>
          <w:p>
            <w:pPr>
              <w:pStyle w:val="Compact"/>
            </w:pPr>
            <w:r>
              <w:t xml:space="preserve">16.3 mn USD</w:t>
            </w:r>
          </w:p>
        </w:tc>
        <w:tc>
          <w:tcPr/>
          <w:p>
            <w:pPr>
              <w:pStyle w:val="Compact"/>
            </w:pPr>
            <w:r>
              <w:t xml:space="preserve">-32.8 mn USD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2025-03-31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Cash 74.4 mn USD; debt 72.5 mn USD; TTM FCF -0.1 bn USD (FCF margin -9.2%).</w:t>
      </w:r>
    </w:p>
    <w:bookmarkEnd w:id="42"/>
    <w:bookmarkStart w:id="43" w:name="X3c821d6e9fede090eb3c69e03178b96148c2c25"/>
    <w:p>
      <w:pPr>
        <w:pStyle w:val="Heading2"/>
      </w:pPr>
      <w:r>
        <w:t xml:space="preserve">5. Latest earnings: actual vs consensus vs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EPS actual</w:t>
            </w:r>
          </w:p>
        </w:tc>
        <w:tc>
          <w:tcPr/>
          <w:p>
            <w:pPr>
              <w:pStyle w:val="Compact"/>
            </w:pPr>
            <w:r>
              <w:t xml:space="preserve">EPS consensus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2025-09-30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0.80667</w:t>
            </w:r>
          </w:p>
        </w:tc>
        <w:tc>
          <w:tcPr/>
          <w:p>
            <w:pPr>
              <w:pStyle w:val="Compact"/>
            </w:pPr>
            <w:r>
              <w:t xml:space="preserve">0.23969999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1.29834</w:t>
            </w:r>
          </w:p>
        </w:tc>
        <w:tc>
          <w:tcPr/>
          <w:p>
            <w:pPr>
              <w:pStyle w:val="Compact"/>
            </w:pPr>
            <w:r>
              <w:t xml:space="preserve">-0.0295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1.30305</w:t>
            </w:r>
          </w:p>
        </w:tc>
        <w:tc>
          <w:tcPr/>
          <w:p>
            <w:pPr>
              <w:pStyle w:val="Compact"/>
            </w:pPr>
            <w:r>
              <w:t xml:space="preserve">0.2125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2.10662</w:t>
            </w:r>
          </w:p>
        </w:tc>
        <w:tc>
          <w:tcPr/>
          <w:p>
            <w:pPr>
              <w:pStyle w:val="Compact"/>
            </w:pPr>
            <w:r>
              <w:t xml:space="preserve">0.1535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Management guidance: not in automated feed —</w:t>
      </w:r>
      <w:r>
        <w:t xml:space="preserve"> </w:t>
      </w:r>
      <w:r>
        <w:rPr>
          <w:b/>
          <w:bCs/>
        </w:rPr>
        <w:t xml:space="preserve">UNAVAILABLE (to be entered from IR release)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Next earnings (Yahoo; TENTATIVE until company-confirmed):</w:t>
      </w:r>
      <w:r>
        <w:t xml:space="preserve"> </w:t>
      </w:r>
      <w:r>
        <w:rPr>
          <w:b/>
          <w:bCs/>
        </w:rPr>
        <w:t xml:space="preserve">2026-10-29</w:t>
      </w:r>
      <w:r>
        <w:t xml:space="preserve">; current-quarter EPS consensus 3.33339 (9 analysts); revenue consensus 0.5 bn USD.</w:t>
      </w:r>
    </w:p>
    <w:bookmarkEnd w:id="43"/>
    <w:bookmarkStart w:id="44" w:name="quarter-drivers-price-reasonableness"/>
    <w:p>
      <w:pPr>
        <w:pStyle w:val="Heading2"/>
      </w:pPr>
      <w:r>
        <w:t xml:space="preserve">6. 2/4/6/8-quarter drivers &amp; price reasonableness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PV of horizon price</w:t>
            </w:r>
          </w:p>
        </w:tc>
        <w:tc>
          <w:tcPr/>
          <w:p>
            <w:pPr>
              <w:pStyle w:val="Compact"/>
            </w:pPr>
            <w:r>
              <w:t xml:space="preserve">vs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$-13.99</w:t>
            </w:r>
          </w:p>
        </w:tc>
        <w:tc>
          <w:tcPr/>
          <w:p>
            <w:pPr>
              <w:pStyle w:val="Compact"/>
            </w:pPr>
            <w:r>
              <w:t xml:space="preserve">-106.4%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$-13.64</w:t>
            </w:r>
          </w:p>
        </w:tc>
        <w:tc>
          <w:tcPr/>
          <w:p>
            <w:pPr>
              <w:pStyle w:val="Compact"/>
            </w:pPr>
            <w:r>
              <w:t xml:space="preserve">-106.2%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$-4.30</w:t>
            </w:r>
          </w:p>
        </w:tc>
        <w:tc>
          <w:tcPr/>
          <w:p>
            <w:pPr>
              <w:pStyle w:val="Compact"/>
            </w:pPr>
            <w:r>
              <w:t xml:space="preserve">-102.0%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$1.78</w:t>
            </w:r>
          </w:p>
        </w:tc>
        <w:tc>
          <w:tcPr/>
          <w:p>
            <w:pPr>
              <w:pStyle w:val="Compact"/>
            </w:pPr>
            <w:r>
              <w:t xml:space="preserve">-99.2%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$24.47</w:t>
            </w:r>
          </w:p>
        </w:tc>
        <w:tc>
          <w:tcPr/>
          <w:p>
            <w:pPr>
              <w:pStyle w:val="Compact"/>
            </w:pPr>
            <w:r>
              <w:t xml:space="preserve">-88.8%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$64.20</w:t>
            </w:r>
          </w:p>
        </w:tc>
        <w:tc>
          <w:tcPr/>
          <w:p>
            <w:pPr>
              <w:pStyle w:val="Compact"/>
            </w:pPr>
            <w:r>
              <w:t xml:space="preserve">-70.6%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$17.64</w:t>
            </w:r>
          </w:p>
        </w:tc>
        <w:tc>
          <w:tcPr/>
          <w:p>
            <w:pPr>
              <w:pStyle w:val="Compact"/>
            </w:pPr>
            <w:r>
              <w:t xml:space="preserve">-91.9%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$67.99</w:t>
            </w:r>
          </w:p>
        </w:tc>
        <w:tc>
          <w:tcPr/>
          <w:p>
            <w:pPr>
              <w:pStyle w:val="Compact"/>
            </w:pPr>
            <w:r>
              <w:t xml:space="preserve">-68.9%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$147.64</w:t>
            </w:r>
          </w:p>
        </w:tc>
        <w:tc>
          <w:tcPr/>
          <w:p>
            <w:pPr>
              <w:pStyle w:val="Compact"/>
            </w:pPr>
            <w:r>
              <w:t xml:space="preserve">-32.4%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$33.58</w:t>
            </w:r>
          </w:p>
        </w:tc>
        <w:tc>
          <w:tcPr/>
          <w:p>
            <w:pPr>
              <w:pStyle w:val="Compact"/>
            </w:pPr>
            <w:r>
              <w:t xml:space="preserve">-84.6%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$117.51</w:t>
            </w:r>
          </w:p>
        </w:tc>
        <w:tc>
          <w:tcPr/>
          <w:p>
            <w:pPr>
              <w:pStyle w:val="Compact"/>
            </w:pPr>
            <w:r>
              <w:t xml:space="preserve">-46.2%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$248.48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Current-price implied EV/NTM-FCF on Base path:</w:t>
            </w:r>
          </w:p>
        </w:tc>
        <w:tc>
          <w:tcPr/>
          <w:p>
            <w:pPr>
              <w:pStyle w:val="Compact"/>
            </w:pPr>
            <w:r>
              <w:t xml:space="preserve">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2Q</w:t>
            </w:r>
          </w:p>
        </w:tc>
        <w:tc>
          <w:tcPr/>
          <w:p>
            <w:pPr>
              <w:pStyle w:val="Compact"/>
            </w:pPr>
            <w:r>
              <w:t xml:space="preserve">n/m (neg FCF)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4Q</w:t>
            </w:r>
          </w:p>
        </w:tc>
        <w:tc>
          <w:tcPr/>
          <w:p>
            <w:pPr>
              <w:pStyle w:val="Compact"/>
            </w:pPr>
            <w:r>
              <w:t xml:space="preserve">197.5x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6Q</w:t>
            </w:r>
          </w:p>
        </w:tc>
        <w:tc>
          <w:tcPr/>
          <w:p>
            <w:pPr>
              <w:pStyle w:val="Compact"/>
            </w:pPr>
            <w:r>
              <w:t xml:space="preserve">66.7x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8Q</w:t>
            </w:r>
          </w:p>
        </w:tc>
        <w:tc>
          <w:tcPr/>
          <w:p>
            <w:pPr>
              <w:pStyle w:val="Compact"/>
            </w:pPr>
            <w:r>
              <w:t xml:space="preserve">36.3x</w:t>
            </w:r>
          </w:p>
        </w:tc>
      </w:tr>
    </w:tbl>
    <w:bookmarkEnd w:id="44"/>
    <w:bookmarkStart w:id="45" w:name="bear-base-bull-hypothesis"/>
    <w:p>
      <w:pPr>
        <w:pStyle w:val="Heading2"/>
      </w:pPr>
      <w:r>
        <w:t xml:space="preserve">7. Bear / Base / Bull (HYPOTHESIS)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Y1 growth</w:t>
            </w:r>
          </w:p>
        </w:tc>
        <w:tc>
          <w:tcPr/>
          <w:p>
            <w:pPr>
              <w:pStyle w:val="Compact"/>
            </w:pPr>
            <w:r>
              <w:t xml:space="preserve">LR FCF margin</w:t>
            </w:r>
          </w:p>
        </w:tc>
        <w:tc>
          <w:tcPr/>
          <w:p>
            <w:pPr>
              <w:pStyle w:val="Compact"/>
            </w:pPr>
            <w:r>
              <w:t xml:space="preserve">WACC</w:t>
            </w:r>
          </w:p>
        </w:tc>
        <w:tc>
          <w:tcPr/>
          <w:p>
            <w:pPr>
              <w:pStyle w:val="Compact"/>
            </w:pPr>
            <w:r>
              <w:t xml:space="preserve">Terminal g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Value/share</w:t>
            </w:r>
          </w:p>
        </w:tc>
        <w:tc>
          <w:tcPr/>
          <w:p>
            <w:pPr>
              <w:pStyle w:val="Compact"/>
            </w:pPr>
            <w:r>
              <w:t xml:space="preserve">vs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14.4%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$59.08</w:t>
            </w:r>
          </w:p>
        </w:tc>
        <w:tc>
          <w:tcPr/>
          <w:p>
            <w:pPr>
              <w:pStyle w:val="Compact"/>
            </w:pPr>
            <w:r>
              <w:t xml:space="preserve">-72.9%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29.6%</w:t>
            </w:r>
          </w:p>
        </w:tc>
        <w:tc>
          <w:tcPr/>
          <w:p>
            <w:pPr>
              <w:pStyle w:val="Compact"/>
            </w:pPr>
            <w:r>
              <w:t xml:space="preserve">18.0%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50.0%</w:t>
            </w:r>
          </w:p>
        </w:tc>
        <w:tc>
          <w:tcPr/>
          <w:p>
            <w:pPr>
              <w:pStyle w:val="Compact"/>
            </w:pPr>
            <w:r>
              <w:t xml:space="preserve">$162.44</w:t>
            </w:r>
          </w:p>
        </w:tc>
        <w:tc>
          <w:tcPr/>
          <w:p>
            <w:pPr>
              <w:pStyle w:val="Compact"/>
            </w:pPr>
            <w:r>
              <w:t xml:space="preserve">-25.6%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20.7%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  <w:tc>
          <w:tcPr/>
          <w:p>
            <w:pPr>
              <w:pStyle w:val="Compact"/>
            </w:pPr>
            <w:r>
              <w:t xml:space="preserve">$296.57</w:t>
            </w:r>
          </w:p>
        </w:tc>
        <w:tc>
          <w:tcPr/>
          <w:p>
            <w:pPr>
              <w:pStyle w:val="Compact"/>
            </w:pPr>
            <w:r>
              <w:t xml:space="preserve">35.8%</w:t>
            </w:r>
          </w:p>
        </w:tc>
      </w:tr>
    </w:tbl>
    <w:p>
      <w:pPr>
        <w:pStyle w:val="BodyText"/>
      </w:pPr>
      <w:r>
        <w:t xml:space="preserve">Probability-weighted value</w:t>
      </w:r>
      <w:r>
        <w:t xml:space="preserve"> </w:t>
      </w:r>
      <w:r>
        <w:rPr>
          <w:b/>
          <w:bCs/>
        </w:rPr>
        <w:t xml:space="preserve">$170.13</w:t>
      </w:r>
      <w:r>
        <w:t xml:space="preserve"> </w:t>
      </w:r>
      <w:r>
        <w:t xml:space="preserve">(-22.1% vs price).</w:t>
      </w:r>
    </w:p>
    <w:bookmarkEnd w:id="45"/>
    <w:bookmarkStart w:id="46" w:name="Xfc75fe43efc4114f7d3862e568337603baeb829"/>
    <w:p>
      <w:pPr>
        <w:pStyle w:val="Heading2"/>
      </w:pPr>
      <w:r>
        <w:t xml:space="preserve">8. Valuation: DCF / Reverse DCF / ROIC-WACC / comps / sensitivity</w:t>
      </w:r>
    </w:p>
    <w:p>
      <w:pPr>
        <w:pStyle w:val="Compact"/>
        <w:numPr>
          <w:ilvl w:val="0"/>
          <w:numId w:val="1013"/>
        </w:numPr>
      </w:pPr>
      <w:r>
        <w:t xml:space="preserve">Base DCF EV 5.5 bn USD; terminal share 55.5%.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Reverse DCF</w:t>
      </w:r>
      <w:r>
        <w:t xml:space="preserve">: at Base margin/WACC the price implies Y1 revenue growth ≈</w:t>
      </w:r>
      <w:r>
        <w:t xml:space="preserve"> </w:t>
      </w:r>
      <w:r>
        <w:rPr>
          <w:b/>
          <w:bCs/>
        </w:rPr>
        <w:t xml:space="preserve">37.4%</w:t>
      </w:r>
      <w:r>
        <w:t xml:space="preserve"> </w:t>
      </w:r>
      <w:r>
        <w:t xml:space="preserve">vs consensus FY+1 29.6%.</w:t>
      </w:r>
    </w:p>
    <w:p>
      <w:pPr>
        <w:pStyle w:val="Compact"/>
        <w:numPr>
          <w:ilvl w:val="0"/>
          <w:numId w:val="1013"/>
        </w:numPr>
      </w:pPr>
      <w:r>
        <w:t xml:space="preserve">WACC (CAPM) = rf 5.2% + β 1.60 × ERP 5.0% = 13.2%.</w:t>
      </w:r>
    </w:p>
    <w:p>
      <w:pPr>
        <w:pStyle w:val="Compact"/>
        <w:numPr>
          <w:ilvl w:val="0"/>
          <w:numId w:val="1013"/>
        </w:numPr>
      </w:pPr>
      <w:r>
        <w:t xml:space="preserve">SOTP segments: SSD controllers </w:t>
      </w:r>
      <w:r>
        <w:rPr>
          <w:rFonts w:hint="eastAsia"/>
        </w:rPr>
        <w:t xml:space="preserve">SSD主控;</w:t>
      </w:r>
      <w:r>
        <w:t xml:space="preserve"> eMMC/UFS controllers </w:t>
      </w:r>
      <w:r>
        <w:rPr>
          <w:rFonts w:hint="eastAsia"/>
        </w:rPr>
        <w:t xml:space="preserve">嵌入式主控;</w:t>
      </w:r>
      <w:r>
        <w:t xml:space="preserve"> Other </w:t>
      </w:r>
      <w:r>
        <w:rPr>
          <w:rFonts w:hint="eastAsia"/>
        </w:rPr>
        <w:t xml:space="preserve">其他</w:t>
      </w:r>
      <w:r>
        <w:t xml:space="preserve"> — framework only; segment revenue inputs pending from filings.</w:t>
      </w:r>
    </w:p>
    <w:p>
      <w:pPr>
        <w:pStyle w:val="Compact"/>
        <w:numPr>
          <w:ilvl w:val="0"/>
          <w:numId w:val="1013"/>
        </w:numPr>
      </w:pPr>
      <w:r>
        <w:t xml:space="preserve">Comps (DATA): see table in Chinese section / Excel</w:t>
      </w:r>
      <w:r>
        <w:t xml:space="preserve"> </w:t>
      </w:r>
      <w:r>
        <w:rPr>
          <w:rStyle w:val="VerbatimChar"/>
        </w:rPr>
        <w:t xml:space="preserve">Comps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Sensitivity: Excel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 </w:t>
      </w:r>
      <w:r>
        <w:t xml:space="preserve">(WACC × terminal g).</w:t>
      </w:r>
    </w:p>
    <w:bookmarkEnd w:id="46"/>
    <w:bookmarkStart w:id="47" w:name="risks-counterarguments-falsifiers"/>
    <w:p>
      <w:pPr>
        <w:pStyle w:val="Heading2"/>
      </w:pPr>
      <w:r>
        <w:t xml:space="preserve">9. Risks, counterarguments, falsifiers</w:t>
      </w:r>
    </w:p>
    <w:p>
      <w:pPr>
        <w:pStyle w:val="FirstParagraph"/>
      </w:pPr>
      <w:r>
        <w:t xml:space="preserve">NAND makers in-source controllers; cycle </w:t>
      </w:r>
      <w:r>
        <w:rPr>
          <w:rFonts w:hint="eastAsia"/>
        </w:rPr>
        <w:t xml:space="preserve">reverses｜原厂自研主控；周期反转</w:t>
      </w:r>
      <w:r>
        <w:t xml:space="preserve"> | Falsifiers: Enterprise SSD revenue fails to scale; GM </w:t>
      </w:r>
      <w:r>
        <w:rPr>
          <w:rFonts w:hint="eastAsia"/>
        </w:rPr>
        <w:t xml:space="preserve">&lt;45%｜企业级SSD未放量；毛利率&lt;45%</w:t>
      </w:r>
    </w:p>
    <w:bookmarkEnd w:id="47"/>
    <w:bookmarkStart w:id="48" w:name="X5f84632c184460920f9e7b36d3f64b5580c3064"/>
    <w:p>
      <w:pPr>
        <w:pStyle w:val="Heading2"/>
      </w:pPr>
      <w:r>
        <w:t xml:space="preserve">10–12. Source Ledger / Assumption Register / Model Provenance</w:t>
      </w:r>
    </w:p>
    <w:p>
      <w:pPr>
        <w:pStyle w:val="FirstParagraph"/>
      </w:pPr>
      <w:r>
        <w:t xml:space="preserve">See tables above (shared, bilingual). - Model file:</w:t>
      </w:r>
      <w:r>
        <w:t xml:space="preserve"> </w:t>
      </w:r>
      <w:r>
        <w:rPr>
          <w:rStyle w:val="VerbatimChar"/>
        </w:rPr>
        <w:t xml:space="preserve">SIMO_model_v20261016-0756.xlsx</w:t>
      </w:r>
      <w:r>
        <w:t xml:space="preserve"> </w:t>
      </w:r>
      <w:r>
        <w:t xml:space="preserve">(live formulas; sheets Inputs→Scenarios→DCF→ReverseDCF→Sensitivity→Horizons→SOTP→Comps→ROIC_WACC→History→Sources→Assumptions)</w:t>
      </w:r>
      <w:r>
        <w:t xml:space="preserve"> </w:t>
      </w:r>
      <w:r>
        <w:t xml:space="preserve">- Engine:</w:t>
      </w:r>
      <w:r>
        <w:t xml:space="preserve"> </w:t>
      </w:r>
      <w:r>
        <w:rPr>
          <w:rStyle w:val="VerbatimChar"/>
        </w:rPr>
        <w:t xml:space="preserve">production/pipeline/model.py</w:t>
      </w:r>
      <w:r>
        <w:t xml:space="preserve"> </w:t>
      </w:r>
      <w:r>
        <w:t xml:space="preserve">(Python mirror; values in this report = Python mirror, verified against LibreOffice recalculation of the xlsx)</w:t>
      </w:r>
      <w:r>
        <w:t xml:space="preserve"> </w:t>
      </w:r>
      <w:r>
        <w:t xml:space="preserve">- Data snapshot:</w:t>
      </w:r>
      <w:r>
        <w:t xml:space="preserve"> </w:t>
      </w:r>
      <w:r>
        <w:rPr>
          <w:rStyle w:val="VerbatimChar"/>
        </w:rPr>
        <w:t xml:space="preserve">data/snapshots/20261016-0756</w:t>
      </w:r>
      <w:r>
        <w:t xml:space="preserve"> </w:t>
      </w:r>
      <w:r>
        <w:t xml:space="preserve">(immutable) | Fetched 2026-10-16 07:56 SGT | Generated 2026-10-16 07:57 SGT</w:t>
      </w:r>
      <w:r>
        <w:t xml:space="preserve"> </w:t>
      </w:r>
      <w:r>
        <w:t xml:space="preserve">- Version: v20261016-0756. Prior versions are never overwritten (see company history page).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2026-10-15T23:59:25Z</dcterms:created>
  <dcterms:modified xsi:type="dcterms:W3CDTF">2026-10-15T23:59:25Z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