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f369666ac1a87afa92019777ee2e94db2abfe5"/>
    <w:p>
      <w:pPr>
        <w:pStyle w:val="Heading1"/>
      </w:pPr>
      <w:r>
        <w:t xml:space="preserve">CHANGELOG v20261016-0802-post — TSMC 3Q26 post-event</w:t>
      </w:r>
    </w:p>
    <w:p>
      <w:pPr>
        <w:pStyle w:val="Compact"/>
        <w:numPr>
          <w:ilvl w:val="0"/>
          <w:numId w:val="1001"/>
        </w:numPr>
      </w:pPr>
      <w:r>
        <w:t xml:space="preserve">2026-10-16 08:02 SGT: built by pipeline/build_tsm_post.py from locked v20261014-1806 (integrity checked, not rewritten).</w:t>
      </w:r>
    </w:p>
    <w:p>
      <w:pPr>
        <w:pStyle w:val="Compact"/>
        <w:numPr>
          <w:ilvl w:val="0"/>
          <w:numId w:val="1001"/>
        </w:numPr>
      </w:pPr>
      <w:r>
        <w:t xml:space="preserve">Actuals from TSMC 3Q26 earnings release/presentation (2026-10-15); call quotes from transcript.</w:t>
      </w:r>
    </w:p>
    <w:p>
      <w:pPr>
        <w:pStyle w:val="Compact"/>
        <w:numPr>
          <w:ilvl w:val="0"/>
          <w:numId w:val="1001"/>
        </w:numPr>
      </w:pPr>
      <w:r>
        <w:t xml:space="preserve">Locked-rule class beat; Brier OS 0.755 / uniform 0.667.</w:t>
      </w:r>
    </w:p>
    <w:p>
      <w:pPr>
        <w:pStyle w:val="Compact"/>
        <w:numPr>
          <w:ilvl w:val="0"/>
          <w:numId w:val="1001"/>
        </w:numPr>
      </w:pPr>
      <w:r>
        <w:t xml:space="preserve">Valuation: no structural change; mechanical refresh in daily company model.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2026-10-16T00:02:34Z</dcterms:created>
  <dcterms:modified xsi:type="dcterms:W3CDTF">2026-10-16T00:02:34Z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