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smc-tsm-q3-2026-post-event-book"/>
    <w:p>
      <w:pPr>
        <w:pStyle w:val="Heading1"/>
      </w:pPr>
      <w:r>
        <w:t xml:space="preserve">TSMC (TSM) Q3 2026 Post-Event Book</w:t>
      </w:r>
    </w:p>
    <w:p>
      <w:pPr>
        <w:pStyle w:val="BlockText"/>
      </w:pPr>
      <w:r>
        <w:t xml:space="preserve">v20261016-0802-post | built 2026-10-16 08:02 SGT from locked pre-event book v20261014-1806 (integrity checked, not rewritten) | Not investment advice</w:t>
      </w:r>
    </w:p>
    <w:bookmarkStart w:id="9" w:name="Xf8eb5ddb962f87aa8e1fc194885da6684a4b92a"/>
    <w:p>
      <w:pPr>
        <w:pStyle w:val="Heading2"/>
      </w:pPr>
      <w:r>
        <w:t xml:space="preserve">1. Actual vs expected (FACT vs locked expectations)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(locked)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US$bn</w:t>
            </w:r>
          </w:p>
        </w:tc>
        <w:tc>
          <w:tcPr/>
          <w:p>
            <w:pPr>
              <w:pStyle w:val="Compact"/>
            </w:pPr>
            <w:r>
              <w:t xml:space="preserve">44.6–45.8</w:t>
            </w:r>
          </w:p>
        </w:tc>
        <w:tc>
          <w:tcPr/>
          <w:p>
            <w:pPr>
              <w:pStyle w:val="Compact"/>
            </w:pPr>
            <w:r>
              <w:t xml:space="preserve">45.64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</w:pPr>
            <w:r>
              <w:t xml:space="preserve">65.0–67.0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margin %</w:t>
            </w:r>
          </w:p>
        </w:tc>
        <w:tc>
          <w:tcPr/>
          <w:p>
            <w:pPr>
              <w:pStyle w:val="Compact"/>
            </w:pPr>
            <w:r>
              <w:t xml:space="preserve">56.0–58.0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EPS/ADR US$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4.52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</w:t>
            </w:r>
          </w:p>
        </w:tc>
      </w:tr>
    </w:tbl>
    <w:p>
      <w:pPr>
        <w:pStyle w:val="BodyText"/>
      </w:pPr>
      <w:r>
        <w:t xml:space="preserve">4Q26 guide: revenue $52.3–54.3bn (+14% QoQ at mid), GM 65–67%, OM 56.5–58.5%, FX 31.8.</w:t>
      </w:r>
      <w:r>
        <w:t xml:space="preserve"> </w:t>
      </w:r>
      <w:r>
        <w:t xml:space="preserve">Call: FY2026 USD revenue growth now ~44% (2026 </w:t>
      </w:r>
      <w:r>
        <w:rPr>
          <w:rFonts w:hint="eastAsia"/>
        </w:rPr>
        <w:t xml:space="preserve">全年美元营收增长约44%);</w:t>
      </w:r>
      <w:r>
        <w:t xml:space="preserve"> 2026 capex reiterated $60–64bn; 2026–28 capex</w:t>
      </w:r>
      <w:r>
        <w:t xml:space="preserve"> </w:t>
      </w:r>
      <w:r>
        <w:t xml:space="preserve">‘even more significantly higher’</w:t>
      </w:r>
      <w:r>
        <w:t xml:space="preserve"> </w:t>
      </w:r>
      <w:r>
        <w:t xml:space="preserve">than prior 3 years; AI accelerator CAGR (2024–29, mid-to-high 50s%):</w:t>
      </w:r>
      <w:r>
        <w:t xml:space="preserve"> </w:t>
      </w:r>
      <w:r>
        <w:t xml:space="preserve">‘probably will be higher’</w:t>
      </w:r>
      <w:r>
        <w:t xml:space="preserve"> </w:t>
      </w:r>
      <w:r>
        <w:t xml:space="preserve">— no formal update; N2 capacity to more than double in 2027; A14 risk production 2027, volume 2028; Arizona Fab 2 volume production 3Q27 (slightly ahead); extra 3nm fab in Tainan (1H28); Overseas-fab GM dilution ~2% now, widening to 3–4% in later years; Consumer / price-sensitive segments challenged by rising component prices →</w:t>
      </w:r>
      <w:r>
        <w:t xml:space="preserve"> </w:t>
      </w:r>
      <w:r>
        <w:t xml:space="preserve">‘prudent’</w:t>
      </w:r>
      <w:r>
        <w:t xml:space="preserve"> </w:t>
      </w:r>
      <w:r>
        <w:t xml:space="preserve">2027 planning; Advanced packaging: 5x reticle in production; 9x and 14x in development; GlobalFoundries interposer deal for back-end shortage.</w:t>
      </w:r>
    </w:p>
    <w:bookmarkEnd w:id="9"/>
    <w:bookmarkStart w:id="10" w:name="market-reaction"/>
    <w:p>
      <w:pPr>
        <w:pStyle w:val="Heading2"/>
      </w:pPr>
      <w:r>
        <w:t xml:space="preserve">2. Market reaction</w:t>
      </w:r>
    </w:p>
    <w:p>
      <w:pPr>
        <w:pStyle w:val="FirstParagraph"/>
      </w:pPr>
      <w:r>
        <w:t xml:space="preserve">TSM ADR -1.80% on 10/15 vs SOX -0.88% (relative -0.92pp); AMAT -3.72%, KLAC -2.43%, NVDA -1.84%. 2330.TW reacts in the 10/16 Taipei session (results came after the 10/15 close); not available at build time.</w:t>
      </w:r>
      <w:r>
        <w:t xml:space="preserve"> </w:t>
      </w:r>
      <w:r>
        <w:t xml:space="preserve">Inference: fundamentals improved, but the price was set by a sector-wide de-rating and AI-chain de-crowding (equipment names fell for three sessions).</w:t>
      </w:r>
    </w:p>
    <w:bookmarkEnd w:id="10"/>
    <w:bookmarkStart w:id="11" w:name="classification-calibration"/>
    <w:p>
      <w:pPr>
        <w:pStyle w:val="Heading2"/>
      </w:pPr>
      <w:r>
        <w:t xml:space="preserve">3. Classification &amp; calibration</w:t>
      </w:r>
    </w:p>
    <w:p>
      <w:pPr>
        <w:pStyle w:val="FirstParagraph"/>
      </w:pPr>
      <w:r>
        <w:t xml:space="preserve">Locked rule →</w:t>
      </w:r>
      <w:r>
        <w:t xml:space="preserve"> </w:t>
      </w:r>
      <w:r>
        <w:rPr>
          <w:b/>
          <w:bCs/>
        </w:rPr>
        <w:t xml:space="preserve">BEAT</w:t>
      </w:r>
      <w:r>
        <w:t xml:space="preserve"> </w:t>
      </w:r>
      <w:r>
        <w:t xml:space="preserve">(revenue above the $45.8bn guide top). OS Brier 0.755 vs uniform 0.667 vs base rate 0.167. Error class: Probability Calibration (beat path under-weighted at 30% despite a habitual-beat base rate), secondary Market-Reaction error.</w:t>
      </w:r>
    </w:p>
    <w:bookmarkEnd w:id="11"/>
    <w:bookmarkStart w:id="12" w:name="post-mortem-recalibration"/>
    <w:p>
      <w:pPr>
        <w:pStyle w:val="Heading2"/>
      </w:pPr>
      <w:r>
        <w:t xml:space="preserve">4. Post-mortem &amp; recalibration</w:t>
      </w:r>
    </w:p>
    <w:p>
      <w:pPr>
        <w:pStyle w:val="FirstParagraph"/>
      </w:pPr>
      <w:r>
        <w:t xml:space="preserve">Links held: AI demand (HPC +22% QoQ), N2/N3 ramp, guide. Mixed: gross margin (dilution 2%→3–4% from overseas fabs). Broke: stock reaction. Fix: earnings scenarios now split</w:t>
      </w:r>
      <w:r>
        <w:t xml:space="preserve"> </w:t>
      </w:r>
      <w:r>
        <w:t xml:space="preserve">‘beat + sector tailwind’</w:t>
      </w:r>
      <w:r>
        <w:t xml:space="preserve"> </w:t>
      </w:r>
      <w:r>
        <w:t xml:space="preserve">vs</w:t>
      </w:r>
      <w:r>
        <w:t xml:space="preserve"> </w:t>
      </w:r>
      <w:r>
        <w:t xml:space="preserve">‘beat + sector headwind’</w:t>
      </w:r>
      <w:r>
        <w:t xml:space="preserve">; beat prior for TSMC raised toward the base rate.</w:t>
      </w:r>
    </w:p>
    <w:bookmarkEnd w:id="12"/>
    <w:bookmarkStart w:id="13" w:name="valuation"/>
    <w:p>
      <w:pPr>
        <w:pStyle w:val="Heading2"/>
      </w:pPr>
      <w:r>
        <w:t xml:space="preserve">5. Valuation</w:t>
      </w:r>
    </w:p>
    <w:p>
      <w:pPr>
        <w:pStyle w:val="FirstParagraph"/>
      </w:pPr>
      <w:r>
        <w:t xml:space="preserve">Derived FY2026 revenue NT$5,594bn (+46.9% YoY) vs consensus NT$5,520bn (+1.3%) → consistent with consensus; DCF scenario structure unchanged (mechanical refresh only). Latest company model: v20261015-0757: Bear $134 / Base $350 / Bull </w:t>
      </w:r>
      <w:r>
        <w:rPr>
          <w:rFonts w:hint="eastAsia"/>
        </w:rPr>
        <w:t xml:space="preserve">$655（价格</w:t>
      </w:r>
      <w:r>
        <w:t xml:space="preserve"> </w:t>
      </w:r>
      <w:r>
        <w:rPr>
          <w:rFonts w:hint="eastAsia"/>
        </w:rPr>
        <w:t xml:space="preserve">$430.00）；v20261016-0756:</w:t>
      </w:r>
      <w:r>
        <w:t xml:space="preserve"> Bear $132 / Base $341 / Bull </w:t>
      </w:r>
      <w:r>
        <w:rPr>
          <w:rFonts w:hint="eastAsia"/>
        </w:rPr>
        <w:t xml:space="preserve">$635（价格</w:t>
      </w:r>
      <w:r>
        <w:t xml:space="preserve"> </w:t>
      </w:r>
      <w:r>
        <w:rPr>
          <w:rFonts w:hint="eastAsia"/>
        </w:rPr>
        <w:t xml:space="preserve">$422.25）.</w:t>
      </w:r>
    </w:p>
    <w:bookmarkEnd w:id="13"/>
    <w:bookmarkStart w:id="14" w:name="falsifiers"/>
    <w:p>
      <w:pPr>
        <w:pStyle w:val="Heading2"/>
      </w:pPr>
      <w:r>
        <w:t xml:space="preserve">6. Falsifiers</w:t>
      </w:r>
    </w:p>
    <w:p>
      <w:pPr>
        <w:pStyle w:val="FirstParagraph"/>
      </w:pPr>
      <w:r>
        <w:t xml:space="preserve">October monthly revenue down MoM; 4Q GM &lt; 65%; equipment keeps falling after the capex reaffirmation; 2330 sharply outperforming the ADR.</w:t>
      </w:r>
    </w:p>
    <w:p>
      <w:pPr>
        <w:pStyle w:val="BodyText"/>
      </w:pPr>
      <w:r>
        <w:t xml:space="preserve">Source ledger, assumption register and full reasoning: see the Chinese edition §8–10.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2026-10-16T00:02:34Z</dcterms:created>
  <dcterms:modified xsi:type="dcterms:W3CDTF">2026-10-16T00:02:34Z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