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6eba4d3a2c64eade0e4274469628fd485c4426"/>
    <w:p>
      <w:pPr>
        <w:pStyle w:val="Heading1"/>
      </w:pPr>
      <w:r>
        <w:t xml:space="preserve">US Retail Sales (Sep 2026) — Post-Event Review (English) v20261016-0800-post</w:t>
      </w:r>
    </w:p>
    <w:p>
      <w:pPr>
        <w:pStyle w:val="BlockText"/>
      </w:pPr>
      <w:r>
        <w:t xml:space="preserve">Final (close) | Locked pre-event book v20261015-1805 (2026-10-15T18:05), not rewritten | Not investment advice</w:t>
      </w:r>
    </w:p>
    <w:bookmarkStart w:id="9" w:name="second-take"/>
    <w:p>
      <w:pPr>
        <w:pStyle w:val="Heading2"/>
      </w:pPr>
      <w:r>
        <w:t xml:space="preserve">30-second take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US Retail Sales (Sep 2026) control = +0.1% vs locked consensus 0.3% / locked OS 0.0%. Locked-rule bucket: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(fake-strong sub-scenario: headline ≥0.7% on gasoline prices, control ≤0.1%); quality bucket:</w:t>
      </w:r>
      <w:r>
        <w:t xml:space="preserve"> </w:t>
      </w:r>
      <w:r>
        <w:rPr>
          <w:b/>
          <w:bCs/>
        </w:rPr>
        <w:t xml:space="preserve">inline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Markets:</w:t>
      </w:r>
      <w:r>
        <w:t xml:space="preserve"> </w:t>
      </w:r>
      <w:r>
        <w:t xml:space="preserve">10Y -10.1bp on the day, of which -10.9bp happened BEFORE 08:30; release window (08:29→09:15 ET) -2.7bp, 2Y (futures est.) -2.0bp. Kalshi October hike 28% → peak 36% → 28% at T+45 (prior-day 30%).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split the time windows; a spike that reverses = the market looked through the headline. Tech weakness (NDX -0.05%, SOX -0.88%) was mostly pre-release (AI-credit/positioning), not this print.</w:t>
      </w:r>
    </w:p>
    <w:bookmarkEnd w:id="9"/>
    <w:bookmarkStart w:id="10" w:name="actual-vs-consensus-vs-locked-os"/>
    <w:p>
      <w:pPr>
        <w:pStyle w:val="Heading2"/>
      </w:pPr>
      <w:r>
        <w:t xml:space="preserve">1. Actual vs consensus vs locked 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 (OS calc)</w:t>
            </w:r>
          </w:p>
        </w:tc>
        <w:tc>
          <w:tcPr/>
          <w:p>
            <w:pPr>
              <w:pStyle w:val="Compact"/>
            </w:pPr>
            <w:r>
              <w:t xml:space="preserve">Official rounded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(locked)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OS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t xml:space="preserve">+0.77%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+0.47pp</w:t>
            </w:r>
          </w:p>
        </w:tc>
        <w:tc>
          <w:tcPr/>
          <w:p>
            <w:pPr>
              <w:pStyle w:val="Compact"/>
            </w:pPr>
            <w:r>
              <w:t xml:space="preserve">+0.57pp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</w:t>
            </w:r>
            <w:r>
              <w:t xml:space="preserve"> Ex-auto MoM</w:t>
            </w:r>
          </w:p>
        </w:tc>
        <w:tc>
          <w:tcPr/>
          <w:p>
            <w:pPr>
              <w:pStyle w:val="Compact"/>
            </w:pPr>
            <w:r>
              <w:t xml:space="preserve">+0.90%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+0.40pp</w:t>
            </w:r>
          </w:p>
        </w:tc>
        <w:tc>
          <w:tcPr/>
          <w:p>
            <w:pPr>
              <w:pStyle w:val="Compact"/>
            </w:pPr>
            <w:r>
              <w:t xml:space="preserve">+0.50pp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除汽车与汽油</w:t>
            </w:r>
            <w:r>
              <w:t xml:space="preserve"> Ex-auto &amp; gas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Control group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  <w:tc>
          <w:tcPr/>
          <w:p>
            <w:pPr>
              <w:pStyle w:val="Compact"/>
            </w:pPr>
            <w:r>
              <w:t xml:space="preserve">+0.14pp</w:t>
            </w:r>
          </w:p>
        </w:tc>
      </w:tr>
    </w:tbl>
    <w:bookmarkEnd w:id="10"/>
    <w:bookmarkStart w:id="11" w:name="components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Prior MoM (revised)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Gasoline stations</w:t>
            </w:r>
          </w:p>
        </w:tc>
        <w:tc>
          <w:tcPr/>
          <w:p>
            <w:pPr>
              <w:pStyle w:val="Compact"/>
            </w:pPr>
            <w:r>
              <w:t xml:space="preserve">+6.37%</w:t>
            </w:r>
          </w:p>
        </w:tc>
        <w:tc>
          <w:tcPr/>
          <w:p>
            <w:pPr>
              <w:pStyle w:val="Compact"/>
            </w:pPr>
            <w:r>
              <w:t xml:space="preserve">+3.97%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Food services</w:t>
            </w:r>
          </w:p>
        </w:tc>
        <w:tc>
          <w:tcPr/>
          <w:p>
            <w:pPr>
              <w:pStyle w:val="Compact"/>
            </w:pPr>
            <w:r>
              <w:t xml:space="preserve">+1.11%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  <w:r>
              <w:t xml:space="preserve"> Furniture</w:t>
            </w:r>
          </w:p>
        </w:tc>
        <w:tc>
          <w:tcPr/>
          <w:p>
            <w:pPr>
              <w:pStyle w:val="Compact"/>
            </w:pPr>
            <w:r>
              <w:t xml:space="preserve">+1.30%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电子电器</w:t>
            </w:r>
            <w:r>
              <w:t xml:space="preserve"> Electronics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  <w:tc>
          <w:tcPr/>
          <w:p>
            <w:pPr>
              <w:pStyle w:val="Compact"/>
            </w:pPr>
            <w:r>
              <w:t xml:space="preserve">+2.09%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健康个护</w:t>
            </w:r>
            <w:r>
              <w:t xml:space="preserve"> Health &amp; personal</w:t>
            </w:r>
          </w:p>
        </w:tc>
        <w:tc>
          <w:tcPr/>
          <w:p>
            <w:pPr>
              <w:pStyle w:val="Compact"/>
            </w:pPr>
            <w:r>
              <w:t xml:space="preserve">+0.73%</w:t>
            </w:r>
          </w:p>
        </w:tc>
        <w:tc>
          <w:tcPr/>
          <w:p>
            <w:pPr>
              <w:pStyle w:val="Compact"/>
            </w:pPr>
            <w:r>
              <w:t xml:space="preserve">+1.21%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无店铺/网购</w:t>
            </w:r>
            <w:r>
              <w:t xml:space="preserve"> Nonstore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+2.02%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食品饮料店</w:t>
            </w:r>
            <w:r>
              <w:t xml:space="preserve"> Food &amp; bev stores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汽车及零件</w:t>
            </w:r>
            <w:r>
              <w:t xml:space="preserve"> Motor vehicles</w:t>
            </w:r>
          </w:p>
        </w:tc>
        <w:tc>
          <w:tcPr/>
          <w:p>
            <w:pPr>
              <w:pStyle w:val="Compact"/>
            </w:pPr>
            <w:r>
              <w:t xml:space="preserve">+0.22%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Clothing</w:t>
            </w:r>
          </w:p>
        </w:tc>
        <w:tc>
          <w:tcPr/>
          <w:p>
            <w:pPr>
              <w:pStyle w:val="Compact"/>
            </w:pPr>
            <w:r>
              <w:t xml:space="preserve">-0.03%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综合商品</w:t>
            </w:r>
            <w:r>
              <w:t xml:space="preserve"> General merch.</w:t>
            </w:r>
          </w:p>
        </w:tc>
        <w:tc>
          <w:tcPr/>
          <w:p>
            <w:pPr>
              <w:pStyle w:val="Compact"/>
            </w:pPr>
            <w:r>
              <w:t xml:space="preserve">-0.08%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体育/爱好</w:t>
            </w:r>
            <w:r>
              <w:t xml:space="preserve"> Sporting/hobby</w:t>
            </w:r>
          </w:p>
        </w:tc>
        <w:tc>
          <w:tcPr/>
          <w:p>
            <w:pPr>
              <w:pStyle w:val="Compact"/>
            </w:pPr>
            <w:r>
              <w:t xml:space="preserve">-0.53%</w:t>
            </w:r>
          </w:p>
        </w:tc>
        <w:tc>
          <w:tcPr/>
          <w:p>
            <w:pPr>
              <w:pStyle w:val="Compact"/>
            </w:pPr>
            <w:r>
              <w:t xml:space="preserve">+1.01%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建材园艺</w:t>
            </w:r>
            <w:r>
              <w:t xml:space="preserve"> Building mat.</w:t>
            </w:r>
          </w:p>
        </w:tc>
        <w:tc>
          <w:tcPr/>
          <w:p>
            <w:pPr>
              <w:pStyle w:val="Compact"/>
            </w:pPr>
            <w:r>
              <w:t xml:space="preserve">-0.56%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杂项零售</w:t>
            </w:r>
            <w:r>
              <w:t xml:space="preserve"> Misc. stores</w:t>
            </w:r>
          </w:p>
        </w:tc>
        <w:tc>
          <w:tcPr/>
          <w:p>
            <w:pPr>
              <w:pStyle w:val="Compact"/>
            </w:pPr>
            <w:r>
              <w:t xml:space="preserve">-3.02%</w:t>
            </w:r>
          </w:p>
        </w:tc>
        <w:tc>
          <w:tcPr/>
          <w:p>
            <w:pPr>
              <w:pStyle w:val="Compact"/>
            </w:pPr>
            <w:r>
              <w:t xml:space="preserve">+3.55%</w:t>
            </w:r>
          </w:p>
        </w:tc>
      </w:tr>
    </w:tbl>
    <w:bookmarkEnd w:id="11"/>
    <w:bookmarkStart w:id="12" w:name="market-reaction"/>
    <w:p>
      <w:pPr>
        <w:pStyle w:val="Heading2"/>
      </w:pPr>
      <w:r>
        <w:t xml:space="preserve">3. Market reaction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5.089%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-10.1bp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4.899%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-9.3bp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4.751%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4.766%（20:00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+1.5bp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158.15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102.05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29,995.75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7,777.25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+0.09%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4,179.30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96.17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16.46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29,935.59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11,581.22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7,744.06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bookmarkEnd w:id="12"/>
    <w:bookmarkStart w:id="13" w:name="watchlist"/>
    <w:p>
      <w:pPr>
        <w:pStyle w:val="Heading2"/>
      </w:pPr>
      <w:r>
        <w:t xml:space="preserve">4.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较前收（收盘）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-2.07%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+0.97%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  <w:tc>
          <w:tcPr/>
          <w:p>
            <w:pPr>
              <w:pStyle w:val="Compact"/>
            </w:pPr>
            <w:r>
              <w:t xml:space="preserve">-1.65%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  <w:tc>
          <w:tcPr/>
          <w:p>
            <w:pPr>
              <w:pStyle w:val="Compact"/>
            </w:pPr>
            <w:r>
              <w:t xml:space="preserve">-1.26%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+5.47%</w:t>
            </w:r>
          </w:p>
        </w:tc>
        <w:tc>
          <w:tcPr/>
          <w:p>
            <w:pPr>
              <w:pStyle w:val="Compact"/>
            </w:pPr>
            <w:r>
              <w:t xml:space="preserve">+2.01%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-3.03%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+1.37%</w:t>
            </w:r>
          </w:p>
        </w:tc>
        <w:tc>
          <w:tcPr/>
          <w:p>
            <w:pPr>
              <w:pStyle w:val="Compact"/>
            </w:pPr>
            <w:r>
              <w:t xml:space="preserve">-2.72%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  <w:tc>
          <w:tcPr/>
          <w:p>
            <w:pPr>
              <w:pStyle w:val="Compact"/>
            </w:pPr>
            <w:r>
              <w:t xml:space="preserve">-3.27%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+3.38%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-4.83%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+3.53%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+1.95%</w:t>
            </w:r>
          </w:p>
        </w:tc>
        <w:tc>
          <w:tcPr/>
          <w:p>
            <w:pPr>
              <w:pStyle w:val="Compact"/>
            </w:pPr>
            <w:r>
              <w:t xml:space="preserve">-0.68%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+2.63%</w:t>
            </w:r>
          </w:p>
        </w:tc>
        <w:tc>
          <w:tcPr/>
          <w:p>
            <w:pPr>
              <w:pStyle w:val="Compact"/>
            </w:pPr>
            <w:r>
              <w:t xml:space="preserve">-6.86%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+0.63%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-1.27%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+0.02%</w:t>
            </w:r>
          </w:p>
        </w:tc>
        <w:tc>
          <w:tcPr/>
          <w:p>
            <w:pPr>
              <w:pStyle w:val="Compact"/>
            </w:pPr>
            <w:r>
              <w:t xml:space="preserve">-1.33%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+1.42%</w:t>
            </w:r>
          </w:p>
        </w:tc>
        <w:tc>
          <w:tcPr/>
          <w:p>
            <w:pPr>
              <w:pStyle w:val="Compact"/>
            </w:pPr>
            <w:r>
              <w:t xml:space="preserve">+1.58%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-1.07%</w:t>
            </w:r>
          </w:p>
        </w:tc>
        <w:tc>
          <w:tcPr/>
          <w:p>
            <w:pPr>
              <w:pStyle w:val="Compact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-1.66%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+2.67%</w:t>
            </w:r>
          </w:p>
        </w:tc>
        <w:tc>
          <w:tcPr/>
          <w:p>
            <w:pPr>
              <w:pStyle w:val="Compact"/>
            </w:pPr>
            <w:r>
              <w:t xml:space="preserve">+4.44%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+0.85%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+3.54%</w:t>
            </w:r>
          </w:p>
        </w:tc>
        <w:tc>
          <w:tcPr/>
          <w:p>
            <w:pPr>
              <w:pStyle w:val="Compact"/>
            </w:pPr>
            <w:r>
              <w:t xml:space="preserve">+3.68%</w:t>
            </w:r>
          </w:p>
        </w:tc>
      </w:tr>
    </w:tbl>
    <w:bookmarkEnd w:id="13"/>
    <w:bookmarkStart w:id="38" w:name="calibration-brier-lower-better"/>
    <w:p>
      <w:pPr>
        <w:pStyle w:val="Heading2"/>
      </w:pPr>
      <w:r>
        <w:t xml:space="preserve">5. Calibration (Brier, lower = better)</w:t>
      </w:r>
    </w:p>
    <w:p>
      <w:pPr>
        <w:pStyle w:val="FirstParagraph"/>
      </w:pPr>
      <w:r>
        <w:t xml:space="preserve">OS locked 1.005 | base rate 0.724 | uniform 0.667. Base-rate source: </w:t>
      </w:r>
      <w:r>
        <w:rPr>
          <w:rFonts w:hint="eastAsia"/>
        </w:rPr>
        <w:t xml:space="preserve">锁定事前书：FRED</w:t>
      </w:r>
      <w:r>
        <w:t xml:space="preserve"> RSAFS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个月总额环比（≤0.0</w:t>
      </w:r>
      <w:r>
        <w:t xml:space="preserve"> / 0.1–0.6 / </w:t>
      </w:r>
      <w:r>
        <w:rPr>
          <w:rFonts w:hint="eastAsia"/>
        </w:rPr>
        <w:t xml:space="preserve">≥0.7）.</w:t>
      </w:r>
      <w:r>
        <w:t xml:space="preserve"> </w:t>
      </w:r>
      <w:r>
        <w:t xml:space="preserve">## 6. Chain post-mortem, steelman, what to watch</w:t>
      </w:r>
      <w:r>
        <w:t xml:space="preserve"> </w:t>
      </w:r>
      <w:r>
        <w:t xml:space="preserve">See the Chinese edition §4–6 (full reasoning). Source ledger and assumption register as in ZH §8–9.</w:t>
      </w:r>
      <w:r>
        <w:t xml:space="preserve"> </w:t>
      </w:r>
      <w:r>
        <w:t xml:space="preserve">## Charts</w:t>
      </w:r>
      <w:r>
        <w:t xml:space="preserve"> </w:t>
      </w:r>
      <w:r>
        <w:drawing>
          <wp:inline>
            <wp:extent cx="5334000" cy="3000374"/>
            <wp:effectExtent b="0" l="0" r="0" t="0"/>
            <wp:docPr descr="01_expectation_gap" title="" id="15" name="Picture"/>
            <a:graphic>
              <a:graphicData uri="http://schemas.openxmlformats.org/drawingml/2006/picture">
                <pic:pic>
                  <pic:nvPicPr>
                    <pic:cNvPr descr="images/01_expectation_g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2_components" title="" id="18" name="Picture"/>
            <a:graphic>
              <a:graphicData uri="http://schemas.openxmlformats.org/drawingml/2006/picture">
                <pic:pic>
                  <pic:nvPicPr>
                    <pic:cNvPr descr="images/02_componen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3_rates_path" title="" id="21" name="Picture"/>
            <a:graphic>
              <a:graphicData uri="http://schemas.openxmlformats.org/drawingml/2006/picture">
                <pic:pic>
                  <pic:nvPicPr>
                    <pic:cNvPr descr="images/03_rates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4_kalshi_path" title="" id="24" name="Picture"/>
            <a:graphic>
              <a:graphicData uri="http://schemas.openxmlformats.org/drawingml/2006/picture">
                <pic:pic>
                  <pic:nvPicPr>
                    <pic:cNvPr descr="images/04_kalshi_pat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5_watchlist_movers" title="" id="27" name="Picture"/>
            <a:graphic>
              <a:graphicData uri="http://schemas.openxmlformats.org/drawingml/2006/picture">
                <pic:pic>
                  <pic:nvPicPr>
                    <pic:cNvPr descr="images/05_watchlist_mov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6_calibration_brier" title="" id="30" name="Picture"/>
            <a:graphic>
              <a:graphicData uri="http://schemas.openxmlformats.org/drawingml/2006/picture">
                <pic:pic>
                  <pic:nvPicPr>
                    <pic:cNvPr descr="images/06_calibration_bri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7_chain_postmortem" title="" id="33" name="Picture"/>
            <a:graphic>
              <a:graphicData uri="http://schemas.openxmlformats.org/drawingml/2006/picture">
                <pic:pic>
                  <pic:nvPicPr>
                    <pic:cNvPr descr="images/07_chain_postmorte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8_reaction_decomposition" title="" id="36" name="Picture"/>
            <a:graphic>
              <a:graphicData uri="http://schemas.openxmlformats.org/drawingml/2006/picture">
                <pic:pic>
                  <pic:nvPicPr>
                    <pic:cNvPr descr="images/08_reaction_decomposi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2026-10-16T00:01:11Z</dcterms:created>
  <dcterms:modified xsi:type="dcterms:W3CDTF">2026-10-16T00:01:11Z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