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67b1b5610601569dfd648265da8788b828a357a"/>
    <w:p>
      <w:pPr>
        <w:pStyle w:val="Heading1"/>
      </w:pPr>
      <w:r>
        <w:t xml:space="preserve">CIEN Ciena Corporation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$359.60｜市值</w:t>
      </w:r>
      <w:r>
        <w:t xml:space="preserve"> 51.0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AI训练集群跨园区互连(scale-across)推动Ciena</w:t>
      </w:r>
      <w:r>
        <w:t xml:space="preserve"> </w:t>
      </w:r>
      <w:r>
        <w:rPr>
          <w:rFonts w:hint="eastAsia"/>
        </w:rPr>
        <w:t xml:space="preserve">800G/1.6T相干光需求；从运营商周期股转向云厂成长股。</w:t>
      </w:r>
    </w:p>
    <w:p>
      <w:pPr>
        <w:pStyle w:val="Compact"/>
        <w:numPr>
          <w:ilvl w:val="0"/>
          <w:numId w:val="1001"/>
        </w:numPr>
      </w:pPr>
      <w:r>
        <w:rPr>
          <w:rFonts w:hint="eastAsia"/>
          <w:b/>
          <w:bCs/>
        </w:rPr>
        <w:t xml:space="preserve">多头驱动</w:t>
      </w:r>
      <w:r>
        <w:t xml:space="preserve">: Hyperscaler &gt;50% of revenue; pluggables and in-DC </w:t>
      </w:r>
      <w:r>
        <w:rPr>
          <w:rFonts w:hint="eastAsia"/>
        </w:rPr>
        <w:t xml:space="preserve">opportunities｜云厂收入占比超半；可插拔与机房内机会</w:t>
      </w:r>
    </w:p>
    <w:p>
      <w:pPr>
        <w:pStyle w:val="Compact"/>
        <w:numPr>
          <w:ilvl w:val="0"/>
          <w:numId w:val="1001"/>
        </w:numPr>
      </w:pPr>
      <w:r>
        <w:rPr>
          <w:rFonts w:hint="eastAsia"/>
          <w:b/>
          <w:bCs/>
        </w:rPr>
        <w:t xml:space="preserve">空头驱动</w:t>
      </w:r>
      <w:r>
        <w:t xml:space="preserve">: Carrier spending weak; competition from </w:t>
      </w:r>
      <w:r>
        <w:rPr>
          <w:rFonts w:hint="eastAsia"/>
        </w:rPr>
        <w:t xml:space="preserve">Nokia/Infinera｜运营商开支疲弱；诺基亚竞争</w:t>
      </w:r>
    </w:p>
    <w:p>
      <w:pPr>
        <w:pStyle w:val="Compact"/>
        <w:numPr>
          <w:ilvl w:val="0"/>
          <w:numId w:val="1001"/>
        </w:numPr>
      </w:pPr>
      <w:r>
        <w:rPr>
          <w:rFonts w:hint="eastAsia"/>
          <w:b/>
          <w:bCs/>
        </w:rPr>
        <w:t xml:space="preserve">证伪条件</w:t>
      </w:r>
      <w:r>
        <w:rPr>
          <w:b/>
          <w:bCs/>
        </w:rPr>
        <w:t xml:space="preserve"> Falsifiers</w:t>
      </w:r>
      <w:r>
        <w:t xml:space="preserve">: Order book/backlog falls; GM not </w:t>
      </w:r>
      <w:r>
        <w:rPr>
          <w:rFonts w:hint="eastAsia"/>
        </w:rPr>
        <w:t xml:space="preserve">improving｜订单/积压下降；毛利不改善</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networking systems </w:t>
      </w:r>
      <w:r>
        <w:rPr>
          <w:rFonts w:hint="eastAsia"/>
        </w:rPr>
        <w:t xml:space="preserve">光网络系统</w:t>
      </w:r>
    </w:p>
    <w:p>
      <w:pPr>
        <w:pStyle w:val="Compact"/>
        <w:numPr>
          <w:ilvl w:val="0"/>
          <w:numId w:val="1002"/>
        </w:numPr>
      </w:pPr>
      <w:r>
        <w:rPr>
          <w:rFonts w:hint="eastAsia"/>
        </w:rPr>
        <w:t xml:space="preserve">业务分部</w:t>
      </w:r>
      <w:r>
        <w:t xml:space="preserve"> Segments: Networking platforms </w:t>
      </w:r>
      <w:r>
        <w:rPr>
          <w:rFonts w:hint="eastAsia"/>
        </w:rPr>
        <w:t xml:space="preserve">网络平台；Platform</w:t>
      </w:r>
      <w:r>
        <w:t xml:space="preserve"> software &amp; services </w:t>
      </w:r>
      <w:r>
        <w:rPr>
          <w:rFonts w:hint="eastAsia"/>
        </w:rPr>
        <w:t xml:space="preserve">软件服务；Blue</w:t>
      </w:r>
      <w:r>
        <w:t xml:space="preserve"> Planet</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02"/>
        </w:numPr>
      </w:pPr>
      <w:r>
        <w:rPr>
          <w:rFonts w:hint="eastAsia"/>
        </w:rPr>
        <w:t xml:space="preserve">主要客户:</w:t>
      </w:r>
      <w:r>
        <w:t xml:space="preserve"> Telecom carriers, hyperscalers (DCI), cable </w:t>
      </w:r>
      <w:r>
        <w:rPr>
          <w:rFonts w:hint="eastAsia"/>
        </w:rPr>
        <w:t xml:space="preserve">operators｜运营商、云厂(数据中心互连)、有线电视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03"/>
        </w:numPr>
      </w:pPr>
      <w:r>
        <w:rPr>
          <w:rFonts w:hint="eastAsia"/>
        </w:rPr>
        <w:t xml:space="preserve">竞争者</w:t>
      </w:r>
      <w:r>
        <w:t xml:space="preserve"> </w:t>
      </w:r>
      <w:r>
        <w:rPr>
          <w:rFonts w:hint="eastAsia"/>
        </w:rPr>
        <w:t xml:space="preserve">(含业外):</w:t>
      </w:r>
      <w:r>
        <w:t xml:space="preserve"> Nokia (Infinera), Cisco (Acacia), Huawei, Coherent </w:t>
      </w:r>
      <w:r>
        <w:rPr>
          <w:rFonts w:hint="eastAsia"/>
        </w:rPr>
        <w:t xml:space="preserve">pluggables｜诺基亚、思科、华为、Coherent</w:t>
      </w:r>
    </w:p>
    <w:p>
      <w:pPr>
        <w:pStyle w:val="Compact"/>
        <w:numPr>
          <w:ilvl w:val="0"/>
          <w:numId w:val="1003"/>
        </w:numPr>
      </w:pPr>
      <w:r>
        <w:rPr>
          <w:rFonts w:hint="eastAsia"/>
        </w:rPr>
        <w:t xml:space="preserve">瓶颈/监管:</w:t>
      </w:r>
      <w:r>
        <w:t xml:space="preserve"> Component supply, hyperscaler DCI </w:t>
      </w:r>
      <w:r>
        <w:rPr>
          <w:rFonts w:hint="eastAsia"/>
        </w:rPr>
        <w:t xml:space="preserve">cycles｜器件供应、云厂DCI周期</w:t>
      </w:r>
    </w:p>
    <w:p>
      <w:pPr>
        <w:pStyle w:val="Compact"/>
        <w:numPr>
          <w:ilvl w:val="0"/>
          <w:numId w:val="1003"/>
        </w:numPr>
      </w:pPr>
      <w:r>
        <w:rPr>
          <w:rFonts w:hint="eastAsia"/>
        </w:rPr>
        <w:t xml:space="preserve">关键KPI:</w:t>
      </w:r>
      <w:r>
        <w:t xml:space="preserve"> Revenue, cloud mix, GM%, </w:t>
      </w:r>
      <w:r>
        <w:rPr>
          <w:rFonts w:hint="eastAsia"/>
        </w:rPr>
        <w:t xml:space="preserve">backlog｜收入、云占比、毛利率、积压</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2.6 bn </w:t>
      </w:r>
      <w:r>
        <w:rPr>
          <w:rFonts w:hint="eastAsia"/>
        </w:rPr>
        <w:t xml:space="preserve">USD；总负债</w:t>
      </w:r>
      <w:r>
        <w:t xml:space="preserve"> 3.3 bn </w:t>
      </w:r>
      <w:r>
        <w:rPr>
          <w:rFonts w:hint="eastAsia"/>
        </w:rPr>
        <w:t xml:space="preserve">USD；净现金</w:t>
      </w:r>
      <w:r>
        <w:t xml:space="preserve"> -0.7 bn USD。TTM FCF 0.8 bn </w:t>
      </w:r>
      <w:r>
        <w:rPr>
          <w:rFonts w:hint="eastAsia"/>
        </w:rPr>
        <w:t xml:space="preserve">USD（FCF率</w:t>
      </w:r>
      <w:r>
        <w:t xml:space="preserve"> </w:t>
      </w:r>
      <w:r>
        <w:rPr>
          <w:rFonts w:hint="eastAsia"/>
        </w:rPr>
        <w:t xml:space="preserve">13.5%）。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2026-09-03</w:t>
      </w:r>
      <w:r>
        <w:rPr>
          <w:rFonts w:hint="eastAsia"/>
        </w:rPr>
        <w:t xml:space="preserve">；本季EPS一致预期</w:t>
      </w:r>
      <w:r>
        <w:t xml:space="preserve"> </w:t>
      </w:r>
      <w:r>
        <w:rPr>
          <w:rFonts w:hint="eastAsia"/>
        </w:rPr>
        <w:t xml:space="preserve">1.61699（5位分析师）；收入一致预期</w:t>
      </w:r>
      <w:r>
        <w:t xml:space="preserve"> 1.8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$92.93</w:t>
            </w:r>
          </w:p>
        </w:tc>
        <w:tc>
          <w:tcPr/>
          <w:p>
            <w:pPr>
              <w:pStyle w:val="Compact"/>
            </w:pPr>
            <w:r>
              <w:t xml:space="preserve">-74.2%</w:t>
            </w:r>
          </w:p>
        </w:tc>
      </w:tr>
      <w:tr>
        <w:tc>
          <w:tcPr/>
          <w:p>
            <w:pPr>
              <w:pStyle w:val="Compact"/>
            </w:pPr>
            <w:r>
              <w:t xml:space="preserve">2Q</w:t>
            </w:r>
          </w:p>
        </w:tc>
        <w:tc>
          <w:tcPr/>
          <w:p>
            <w:pPr>
              <w:pStyle w:val="Compact"/>
            </w:pPr>
            <w:r>
              <w:t xml:space="preserve">Base</w:t>
            </w:r>
          </w:p>
        </w:tc>
        <w:tc>
          <w:tcPr/>
          <w:p>
            <w:pPr>
              <w:pStyle w:val="Compact"/>
            </w:pPr>
            <w:r>
              <w:t xml:space="preserve">$205.83</w:t>
            </w:r>
          </w:p>
        </w:tc>
        <w:tc>
          <w:tcPr/>
          <w:p>
            <w:pPr>
              <w:pStyle w:val="Compact"/>
            </w:pPr>
            <w:r>
              <w:t xml:space="preserve">-42.8%</w:t>
            </w:r>
          </w:p>
        </w:tc>
      </w:tr>
      <w:tr>
        <w:tc>
          <w:tcPr/>
          <w:p>
            <w:pPr>
              <w:pStyle w:val="Compact"/>
            </w:pPr>
            <w:r>
              <w:t xml:space="preserve">2Q</w:t>
            </w:r>
          </w:p>
        </w:tc>
        <w:tc>
          <w:tcPr/>
          <w:p>
            <w:pPr>
              <w:pStyle w:val="Compact"/>
            </w:pPr>
            <w:r>
              <w:t xml:space="preserve">Bull</w:t>
            </w:r>
          </w:p>
        </w:tc>
        <w:tc>
          <w:tcPr/>
          <w:p>
            <w:pPr>
              <w:pStyle w:val="Compact"/>
            </w:pPr>
            <w:r>
              <w:t xml:space="preserve">$338.27</w:t>
            </w:r>
          </w:p>
        </w:tc>
        <w:tc>
          <w:tcPr/>
          <w:p>
            <w:pPr>
              <w:pStyle w:val="Compact"/>
            </w:pPr>
            <w:r>
              <w:t xml:space="preserve">-5.9%</w:t>
            </w:r>
          </w:p>
        </w:tc>
      </w:tr>
      <w:tr>
        <w:tc>
          <w:tcPr/>
          <w:p>
            <w:pPr>
              <w:pStyle w:val="Compact"/>
            </w:pPr>
            <w:r>
              <w:t xml:space="preserve">4Q</w:t>
            </w:r>
          </w:p>
        </w:tc>
        <w:tc>
          <w:tcPr/>
          <w:p>
            <w:pPr>
              <w:pStyle w:val="Compact"/>
            </w:pPr>
            <w:r>
              <w:t xml:space="preserve">Bear</w:t>
            </w:r>
          </w:p>
        </w:tc>
        <w:tc>
          <w:tcPr/>
          <w:p>
            <w:pPr>
              <w:pStyle w:val="Compact"/>
            </w:pPr>
            <w:r>
              <w:t xml:space="preserve">$93.24</w:t>
            </w:r>
          </w:p>
        </w:tc>
        <w:tc>
          <w:tcPr/>
          <w:p>
            <w:pPr>
              <w:pStyle w:val="Compact"/>
            </w:pPr>
            <w:r>
              <w:t xml:space="preserve">-74.1%</w:t>
            </w:r>
          </w:p>
        </w:tc>
      </w:tr>
      <w:tr>
        <w:tc>
          <w:tcPr/>
          <w:p>
            <w:pPr>
              <w:pStyle w:val="Compact"/>
            </w:pPr>
            <w:r>
              <w:t xml:space="preserve">4Q</w:t>
            </w:r>
          </w:p>
        </w:tc>
        <w:tc>
          <w:tcPr/>
          <w:p>
            <w:pPr>
              <w:pStyle w:val="Compact"/>
            </w:pPr>
            <w:r>
              <w:t xml:space="preserve">Base</w:t>
            </w:r>
          </w:p>
        </w:tc>
        <w:tc>
          <w:tcPr/>
          <w:p>
            <w:pPr>
              <w:pStyle w:val="Compact"/>
            </w:pPr>
            <w:r>
              <w:t xml:space="preserve">$225.89</w:t>
            </w:r>
          </w:p>
        </w:tc>
        <w:tc>
          <w:tcPr/>
          <w:p>
            <w:pPr>
              <w:pStyle w:val="Compact"/>
            </w:pPr>
            <w:r>
              <w:t xml:space="preserve">-37.2%</w:t>
            </w:r>
          </w:p>
        </w:tc>
      </w:tr>
      <w:tr>
        <w:tc>
          <w:tcPr/>
          <w:p>
            <w:pPr>
              <w:pStyle w:val="Compact"/>
            </w:pPr>
            <w:r>
              <w:t xml:space="preserve">4Q</w:t>
            </w:r>
          </w:p>
        </w:tc>
        <w:tc>
          <w:tcPr/>
          <w:p>
            <w:pPr>
              <w:pStyle w:val="Compact"/>
            </w:pPr>
            <w:r>
              <w:t xml:space="preserve">Bull</w:t>
            </w:r>
          </w:p>
        </w:tc>
        <w:tc>
          <w:tcPr/>
          <w:p>
            <w:pPr>
              <w:pStyle w:val="Compact"/>
            </w:pPr>
            <w:r>
              <w:t xml:space="preserve">$390.46</w:t>
            </w:r>
          </w:p>
        </w:tc>
        <w:tc>
          <w:tcPr/>
          <w:p>
            <w:pPr>
              <w:pStyle w:val="Compact"/>
            </w:pPr>
            <w:r>
              <w:t xml:space="preserve">8.6%</w:t>
            </w:r>
          </w:p>
        </w:tc>
      </w:tr>
      <w:tr>
        <w:tc>
          <w:tcPr/>
          <w:p>
            <w:pPr>
              <w:pStyle w:val="Compact"/>
            </w:pPr>
            <w:r>
              <w:t xml:space="preserve">6Q</w:t>
            </w:r>
          </w:p>
        </w:tc>
        <w:tc>
          <w:tcPr/>
          <w:p>
            <w:pPr>
              <w:pStyle w:val="Compact"/>
            </w:pPr>
            <w:r>
              <w:t xml:space="preserve">Bear</w:t>
            </w:r>
          </w:p>
        </w:tc>
        <w:tc>
          <w:tcPr/>
          <w:p>
            <w:pPr>
              <w:pStyle w:val="Compact"/>
            </w:pPr>
            <w:r>
              <w:t xml:space="preserve">$93.52</w:t>
            </w:r>
          </w:p>
        </w:tc>
        <w:tc>
          <w:tcPr/>
          <w:p>
            <w:pPr>
              <w:pStyle w:val="Compact"/>
            </w:pPr>
            <w:r>
              <w:t xml:space="preserve">-74.0%</w:t>
            </w:r>
          </w:p>
        </w:tc>
      </w:tr>
      <w:tr>
        <w:tc>
          <w:tcPr/>
          <w:p>
            <w:pPr>
              <w:pStyle w:val="Compact"/>
            </w:pPr>
            <w:r>
              <w:t xml:space="preserve">6Q</w:t>
            </w:r>
          </w:p>
        </w:tc>
        <w:tc>
          <w:tcPr/>
          <w:p>
            <w:pPr>
              <w:pStyle w:val="Compact"/>
            </w:pPr>
            <w:r>
              <w:t xml:space="preserve">Base</w:t>
            </w:r>
          </w:p>
        </w:tc>
        <w:tc>
          <w:tcPr/>
          <w:p>
            <w:pPr>
              <w:pStyle w:val="Compact"/>
            </w:pPr>
            <w:r>
              <w:t xml:space="preserve">$247.78</w:t>
            </w:r>
          </w:p>
        </w:tc>
        <w:tc>
          <w:tcPr/>
          <w:p>
            <w:pPr>
              <w:pStyle w:val="Compact"/>
            </w:pPr>
            <w:r>
              <w:t xml:space="preserve">-31.1%</w:t>
            </w:r>
          </w:p>
        </w:tc>
      </w:tr>
      <w:tr>
        <w:tc>
          <w:tcPr/>
          <w:p>
            <w:pPr>
              <w:pStyle w:val="Compact"/>
            </w:pPr>
            <w:r>
              <w:t xml:space="preserve">6Q</w:t>
            </w:r>
          </w:p>
        </w:tc>
        <w:tc>
          <w:tcPr/>
          <w:p>
            <w:pPr>
              <w:pStyle w:val="Compact"/>
            </w:pPr>
            <w:r>
              <w:t xml:space="preserve">Bull</w:t>
            </w:r>
          </w:p>
        </w:tc>
        <w:tc>
          <w:tcPr/>
          <w:p>
            <w:pPr>
              <w:pStyle w:val="Compact"/>
            </w:pPr>
            <w:r>
              <w:t xml:space="preserve">$450.26</w:t>
            </w:r>
          </w:p>
        </w:tc>
        <w:tc>
          <w:tcPr/>
          <w:p>
            <w:pPr>
              <w:pStyle w:val="Compact"/>
            </w:pPr>
            <w:r>
              <w:t xml:space="preserve">25.2%</w:t>
            </w:r>
          </w:p>
        </w:tc>
      </w:tr>
      <w:tr>
        <w:tc>
          <w:tcPr/>
          <w:p>
            <w:pPr>
              <w:pStyle w:val="Compact"/>
            </w:pPr>
            <w:r>
              <w:t xml:space="preserve">8Q</w:t>
            </w:r>
          </w:p>
        </w:tc>
        <w:tc>
          <w:tcPr/>
          <w:p>
            <w:pPr>
              <w:pStyle w:val="Compact"/>
            </w:pPr>
            <w:r>
              <w:t xml:space="preserve">Bear</w:t>
            </w:r>
          </w:p>
        </w:tc>
        <w:tc>
          <w:tcPr/>
          <w:p>
            <w:pPr>
              <w:pStyle w:val="Compact"/>
            </w:pPr>
            <w:r>
              <w:t xml:space="preserve">$93.77</w:t>
            </w:r>
          </w:p>
        </w:tc>
        <w:tc>
          <w:tcPr/>
          <w:p>
            <w:pPr>
              <w:pStyle w:val="Compact"/>
            </w:pPr>
            <w:r>
              <w:t xml:space="preserve">-73.9%</w:t>
            </w:r>
          </w:p>
        </w:tc>
      </w:tr>
      <w:tr>
        <w:tc>
          <w:tcPr/>
          <w:p>
            <w:pPr>
              <w:pStyle w:val="Compact"/>
            </w:pPr>
            <w:r>
              <w:t xml:space="preserve">8Q</w:t>
            </w:r>
          </w:p>
        </w:tc>
        <w:tc>
          <w:tcPr/>
          <w:p>
            <w:pPr>
              <w:pStyle w:val="Compact"/>
            </w:pPr>
            <w:r>
              <w:t xml:space="preserve">Base</w:t>
            </w:r>
          </w:p>
        </w:tc>
        <w:tc>
          <w:tcPr/>
          <w:p>
            <w:pPr>
              <w:pStyle w:val="Compact"/>
            </w:pPr>
            <w:r>
              <w:t xml:space="preserve">$271.67</w:t>
            </w:r>
          </w:p>
        </w:tc>
        <w:tc>
          <w:tcPr/>
          <w:p>
            <w:pPr>
              <w:pStyle w:val="Compact"/>
            </w:pPr>
            <w:r>
              <w:t xml:space="preserve">-24.5%</w:t>
            </w:r>
          </w:p>
        </w:tc>
      </w:tr>
      <w:tr>
        <w:tc>
          <w:tcPr/>
          <w:p>
            <w:pPr>
              <w:pStyle w:val="Compact"/>
            </w:pPr>
            <w:r>
              <w:t xml:space="preserve">8Q</w:t>
            </w:r>
          </w:p>
        </w:tc>
        <w:tc>
          <w:tcPr/>
          <w:p>
            <w:pPr>
              <w:pStyle w:val="Compact"/>
            </w:pPr>
            <w:r>
              <w:t xml:space="preserve">Bull</w:t>
            </w:r>
          </w:p>
        </w:tc>
        <w:tc>
          <w:tcPr/>
          <w:p>
            <w:pPr>
              <w:pStyle w:val="Compact"/>
            </w:pPr>
            <w:r>
              <w:t xml:space="preserve">$518.72</w:t>
            </w:r>
          </w:p>
        </w:tc>
        <w:tc>
          <w:tcPr/>
          <w:p>
            <w:pPr>
              <w:pStyle w:val="Compact"/>
            </w:pPr>
            <w:r>
              <w:t xml:space="preserve">44.3%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41.0x</w:t>
            </w:r>
          </w:p>
        </w:tc>
      </w:tr>
      <w:tr>
        <w:tc>
          <w:tcPr/>
          <w:p>
            <w:pPr>
              <w:pStyle w:val="Compact"/>
            </w:pPr>
            <w:r>
              <w:t xml:space="preserve">4Q</w:t>
            </w:r>
          </w:p>
        </w:tc>
        <w:tc>
          <w:tcPr/>
          <w:p>
            <w:pPr>
              <w:pStyle w:val="Compact"/>
            </w:pPr>
            <w:r>
              <w:t xml:space="preserve">35.5x</w:t>
            </w:r>
          </w:p>
        </w:tc>
      </w:tr>
      <w:tr>
        <w:tc>
          <w:tcPr/>
          <w:p>
            <w:pPr>
              <w:pStyle w:val="Compact"/>
            </w:pPr>
            <w:r>
              <w:t xml:space="preserve">6Q</w:t>
            </w:r>
          </w:p>
        </w:tc>
        <w:tc>
          <w:tcPr/>
          <w:p>
            <w:pPr>
              <w:pStyle w:val="Compact"/>
            </w:pPr>
            <w:r>
              <w:t xml:space="preserve">30.7x</w:t>
            </w:r>
          </w:p>
        </w:tc>
      </w:tr>
      <w:tr>
        <w:tc>
          <w:tcPr/>
          <w:p>
            <w:pPr>
              <w:pStyle w:val="Compact"/>
            </w:pPr>
            <w:r>
              <w:t xml:space="preserve">8Q</w:t>
            </w:r>
          </w:p>
        </w:tc>
        <w:tc>
          <w:tcPr/>
          <w:p>
            <w:pPr>
              <w:pStyle w:val="Compact"/>
            </w:pPr>
            <w:r>
              <w:t xml:space="preserve">26.5x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15.5%</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$80.89</w:t>
            </w:r>
          </w:p>
        </w:tc>
        <w:tc>
          <w:tcPr/>
          <w:p>
            <w:pPr>
              <w:pStyle w:val="Compact"/>
            </w:pPr>
            <w:r>
              <w:t xml:space="preserve">-77.5%</w:t>
            </w:r>
          </w:p>
        </w:tc>
      </w:tr>
      <w:tr>
        <w:tc>
          <w:tcPr/>
          <w:p>
            <w:pPr>
              <w:pStyle w:val="Compact"/>
            </w:pPr>
            <w:r>
              <w:t xml:space="preserve">Base</w:t>
            </w:r>
          </w:p>
        </w:tc>
        <w:tc>
          <w:tcPr/>
          <w:p>
            <w:pPr>
              <w:pStyle w:val="Compact"/>
            </w:pPr>
            <w:r>
              <w:t xml:space="preserve">30.9%</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$212.50</w:t>
            </w:r>
          </w:p>
        </w:tc>
        <w:tc>
          <w:tcPr/>
          <w:p>
            <w:pPr>
              <w:pStyle w:val="Compact"/>
            </w:pPr>
            <w:r>
              <w:t xml:space="preserve">-40.9%</w:t>
            </w:r>
          </w:p>
        </w:tc>
      </w:tr>
      <w:tr>
        <w:tc>
          <w:tcPr/>
          <w:p>
            <w:pPr>
              <w:pStyle w:val="Compact"/>
            </w:pPr>
            <w:r>
              <w:t xml:space="preserve">Bull</w:t>
            </w:r>
          </w:p>
        </w:tc>
        <w:tc>
          <w:tcPr/>
          <w:p>
            <w:pPr>
              <w:pStyle w:val="Compact"/>
            </w:pPr>
            <w:r>
              <w:t xml:space="preserve">40.2%</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$387.88</w:t>
            </w:r>
          </w:p>
        </w:tc>
        <w:tc>
          <w:tcPr/>
          <w:p>
            <w:pPr>
              <w:pStyle w:val="Compact"/>
            </w:pPr>
            <w:r>
              <w:t xml:space="preserve">7.9%</w:t>
            </w:r>
          </w:p>
        </w:tc>
      </w:tr>
    </w:tbl>
    <w:p>
      <w:pPr>
        <w:pStyle w:val="BodyText"/>
      </w:pPr>
      <w:r>
        <w:rPr>
          <w:rFonts w:hint="eastAsia"/>
        </w:rPr>
        <w:t xml:space="preserve">概率加权价值</w:t>
      </w:r>
      <w:r>
        <w:t xml:space="preserve"> </w:t>
      </w:r>
      <w:r>
        <w:rPr>
          <w:b/>
          <w:bCs/>
        </w:rPr>
        <w:t xml:space="preserve">$223.44</w:t>
      </w:r>
      <w:r>
        <w:rPr>
          <w:rFonts w:hint="eastAsia"/>
        </w:rPr>
        <w:t xml:space="preserve">（相对现价</w:t>
      </w:r>
      <w:r>
        <w:t xml:space="preserve"> </w:t>
      </w:r>
      <w:r>
        <w:rPr>
          <w:rFonts w:hint="eastAsia"/>
        </w:rPr>
        <w:t xml:space="preserve">-37.9%）。</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30.8 bn </w:t>
      </w:r>
      <w:r>
        <w:rPr>
          <w:rFonts w:hint="eastAsia"/>
        </w:rPr>
        <w:t xml:space="preserve">USD；终值占比</w:t>
      </w:r>
      <w:r>
        <w:t xml:space="preserve"> 54.0%。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45.6%</w:t>
      </w:r>
      <w:r>
        <w:rPr>
          <w:rFonts w:hint="eastAsia"/>
        </w:rPr>
        <w:t xml:space="preserve">；一致预期FY+1增速</w:t>
      </w:r>
      <w:r>
        <w:t xml:space="preserve"> 30.9%。</w:t>
      </w:r>
    </w:p>
    <w:p>
      <w:pPr>
        <w:numPr>
          <w:ilvl w:val="0"/>
          <w:numId w:val="1005"/>
        </w:numPr>
      </w:pPr>
      <w:r>
        <w:t xml:space="preserve">WACC (CAPM) = rf 5.2% + β 1.29 × ERP 5.0% = 11.7%。</w:t>
      </w:r>
    </w:p>
    <w:p>
      <w:pPr>
        <w:numPr>
          <w:ilvl w:val="0"/>
          <w:numId w:val="1005"/>
        </w:numPr>
      </w:pPr>
      <w:r>
        <w:t xml:space="preserve">SOTP segments </w:t>
      </w:r>
      <w:r>
        <w:rPr>
          <w:rFonts w:hint="eastAsia"/>
        </w:rPr>
        <w:t xml:space="preserve">分部:</w:t>
      </w:r>
      <w:r>
        <w:t xml:space="preserve"> Networking platforms </w:t>
      </w:r>
      <w:r>
        <w:rPr>
          <w:rFonts w:hint="eastAsia"/>
        </w:rPr>
        <w:t xml:space="preserve">网络平台;</w:t>
      </w:r>
      <w:r>
        <w:t xml:space="preserve"> Platform software &amp; services </w:t>
      </w:r>
      <w:r>
        <w:rPr>
          <w:rFonts w:hint="eastAsia"/>
        </w:rPr>
        <w:t xml:space="preserve">软件服务;</w:t>
      </w:r>
      <w:r>
        <w:t xml:space="preserve"> Blue Planet.</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CIEN | 51.0 bn USD | 8.6x | 30.4x | 37.0% | 44.1% | 1.6% |</w:t>
      </w:r>
      <w:r>
        <w:t xml:space="preserve"> </w:t>
      </w:r>
      <w:r>
        <w:t xml:space="preserve">| COHR | 51.9 bn USD | 7.5x | 18.7x | 33.7% | 37.5% | -1.3% |</w:t>
      </w:r>
      <w:r>
        <w:t xml:space="preserve"> </w:t>
      </w:r>
      <w:r>
        <w:t xml:space="preserve">| LITE | 81.2 bn USD | 26.3x | 24.9x | 109.3% | 44.2% | 0.3% |</w:t>
      </w:r>
      <w:r>
        <w:t xml:space="preserve"> </w:t>
      </w:r>
      <w:r>
        <w:t xml:space="preserve">| NOK | 52.6 bn USD | 2.5x | 19.5x | 8.4% | 45.5% | 2.2% |</w:t>
      </w:r>
      <w:r>
        <w:t xml:space="preserve"> </w:t>
      </w:r>
      <w:r>
        <w:t xml:space="preserve">| CSCO | 448.0 bn USD | 7.3x | 20.2x | 17.6% | 64.5% | 2.5%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Carrier spending weak; competition from </w:t>
      </w:r>
      <w:r>
        <w:rPr>
          <w:rFonts w:hint="eastAsia"/>
        </w:rPr>
        <w:t xml:space="preserve">Nokia/Infinera｜运营商开支疲弱；诺基亚竞争</w:t>
      </w:r>
    </w:p>
    <w:p>
      <w:pPr>
        <w:pStyle w:val="Compact"/>
        <w:numPr>
          <w:ilvl w:val="0"/>
          <w:numId w:val="1006"/>
        </w:numPr>
      </w:pPr>
      <w:r>
        <w:rPr>
          <w:rFonts w:hint="eastAsia"/>
        </w:rPr>
        <w:t xml:space="preserve">证伪指标:</w:t>
      </w:r>
      <w:r>
        <w:t xml:space="preserve"> Order book/backlog falls; GM not </w:t>
      </w:r>
      <w:r>
        <w:rPr>
          <w:rFonts w:hint="eastAsia"/>
        </w:rPr>
        <w:t xml:space="preserve">improving｜订单/积压下降；毛利不改善</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359.6</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5.099e+10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2.63e+09</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3.286e+09</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6.021e+09</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8.144e+08</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1.289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0.3468</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0.3093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0.3093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0.1353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CIEN_model_v20261015-0757.xlsx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2026-09-03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IEN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IEN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IEN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IEN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IEN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1ba360c4baa2bde77f31aa5970d25db6e03c79"/>
    <w:p>
      <w:pPr>
        <w:pStyle w:val="Heading1"/>
      </w:pPr>
      <w:r>
        <w:t xml:space="preserve">CIEN Ciena Corporation — Equity Deep Dive (Professional English) v20261015-0757</w:t>
      </w:r>
    </w:p>
    <w:p>
      <w:pPr>
        <w:pStyle w:val="BlockText"/>
      </w:pPr>
      <w:r>
        <w:t xml:space="preserve">Data as of 2026-10-15 07:57 SGT | Price $359.60 | Mkt cap 51.0 bn USD | Reporting currency USD | Not investment advice.</w:t>
      </w:r>
    </w:p>
    <w:bookmarkStart w:id="39" w:name="investment-thesis-hypothesis"/>
    <w:p>
      <w:pPr>
        <w:pStyle w:val="Heading2"/>
      </w:pPr>
      <w:r>
        <w:t xml:space="preserve">1. Investment thesis (HYPOTHESIS)</w:t>
      </w:r>
    </w:p>
    <w:p>
      <w:pPr>
        <w:pStyle w:val="FirstParagraph"/>
      </w:pPr>
      <w:r>
        <w:t xml:space="preserve">AI scale-across interconnect between campuses drives demand for Ciena’s 800G/1.6T coherent optics, shifting it from a carrier-cycle stock toward a cloud-growth stock.</w:t>
      </w:r>
    </w:p>
    <w:p>
      <w:pPr>
        <w:pStyle w:val="Compact"/>
        <w:numPr>
          <w:ilvl w:val="0"/>
          <w:numId w:val="1009"/>
        </w:numPr>
      </w:pPr>
      <w:r>
        <w:rPr>
          <w:b/>
          <w:bCs/>
        </w:rPr>
        <w:t xml:space="preserve">Bull drivers</w:t>
      </w:r>
      <w:r>
        <w:t xml:space="preserve">: Hyperscaler &gt;50% of revenue; pluggables and in-DC </w:t>
      </w:r>
      <w:r>
        <w:rPr>
          <w:rFonts w:hint="eastAsia"/>
        </w:rPr>
        <w:t xml:space="preserve">opportunities｜云厂收入占比超半；可插拔与机房内机会</w:t>
      </w:r>
    </w:p>
    <w:p>
      <w:pPr>
        <w:pStyle w:val="Compact"/>
        <w:numPr>
          <w:ilvl w:val="0"/>
          <w:numId w:val="1009"/>
        </w:numPr>
      </w:pPr>
      <w:r>
        <w:rPr>
          <w:b/>
          <w:bCs/>
        </w:rPr>
        <w:t xml:space="preserve">Bear drivers</w:t>
      </w:r>
      <w:r>
        <w:t xml:space="preserve">: Carrier spending weak; competition from </w:t>
      </w:r>
      <w:r>
        <w:rPr>
          <w:rFonts w:hint="eastAsia"/>
        </w:rPr>
        <w:t xml:space="preserve">Nokia/Infinera｜运营商开支疲弱；诺基亚竞争</w:t>
      </w:r>
    </w:p>
    <w:p>
      <w:pPr>
        <w:pStyle w:val="Compact"/>
        <w:numPr>
          <w:ilvl w:val="0"/>
          <w:numId w:val="1009"/>
        </w:numPr>
      </w:pPr>
      <w:r>
        <w:rPr>
          <w:b/>
          <w:bCs/>
        </w:rPr>
        <w:t xml:space="preserve">Falsifiers</w:t>
      </w:r>
      <w:r>
        <w:t xml:space="preserve">: Order book/backlog falls; GM not </w:t>
      </w:r>
      <w:r>
        <w:rPr>
          <w:rFonts w:hint="eastAsia"/>
        </w:rPr>
        <w:t xml:space="preserve">improving｜订单/积压下降；毛利不改善</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networking systems </w:t>
      </w:r>
      <w:r>
        <w:rPr>
          <w:rFonts w:hint="eastAsia"/>
        </w:rPr>
        <w:t xml:space="preserve">光网络系统</w:t>
      </w:r>
      <w:r>
        <w:t xml:space="preserve"> | Segments: Networking platforms </w:t>
      </w:r>
      <w:r>
        <w:rPr>
          <w:rFonts w:hint="eastAsia"/>
        </w:rPr>
        <w:t xml:space="preserve">网络平台;</w:t>
      </w:r>
      <w:r>
        <w:t xml:space="preserve"> Platform software &amp; services </w:t>
      </w:r>
      <w:r>
        <w:rPr>
          <w:rFonts w:hint="eastAsia"/>
        </w:rPr>
        <w:t xml:space="preserve">软件服务;</w:t>
      </w:r>
      <w:r>
        <w:t xml:space="preserve"> Blue Planet</w:t>
      </w:r>
    </w:p>
    <w:p>
      <w:pPr>
        <w:pStyle w:val="Compact"/>
        <w:numPr>
          <w:ilvl w:val="0"/>
          <w:numId w:val="1010"/>
        </w:numPr>
      </w:pPr>
      <w:r>
        <w:t xml:space="preserve">Business description (DATA): Ciena Corporation, a network technology company, provides hardware, software, and services for various network operators in the Americas, Europe, the Middle East, Africa, the Asia Pacific, Japan, and India. It operates through Networking Platforms, Platform Software and Services, Blue Planet Automation Software and Services, and Global Services segments. The Networking Platforms segment consists optical networking, routing, and switching products and services. This segment products include the 6500 Packet-Optical Platform, Waveserver modular interconnect system, the 6500 Reconfigurable Line System, and coherent pluggable transceivers; and the 3000 family of service delivery platforms and the 5000 family of service aggregation, as well as the 8100 Coherent Routing platforms and virtualization software. The Platform Software and Services segment offers navigator network control suite; and</w:t>
      </w:r>
    </w:p>
    <w:p>
      <w:pPr>
        <w:pStyle w:val="Compact"/>
        <w:numPr>
          <w:ilvl w:val="0"/>
          <w:numId w:val="1010"/>
        </w:numPr>
      </w:pPr>
      <w:r>
        <w:t xml:space="preserve">Customers: Telecom carriers, hyperscalers (DCI), cable </w:t>
      </w:r>
      <w:r>
        <w:rPr>
          <w:rFonts w:hint="eastAsia"/>
        </w:rPr>
        <w:t xml:space="preserve">operators｜运营商、云厂(数据中心互连)、有线电视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WaveLogic DSP (TSMC), lasers, </w:t>
      </w:r>
      <w:r>
        <w:rPr>
          <w:rFonts w:hint="eastAsia"/>
        </w:rPr>
        <w:t xml:space="preserve">components｜自研WaveLogic</w:t>
      </w:r>
      <w:r>
        <w:t xml:space="preserve"> </w:t>
      </w:r>
      <w:r>
        <w:rPr>
          <w:rFonts w:hint="eastAsia"/>
        </w:rPr>
        <w:t xml:space="preserve">DSP、激光器</w:t>
      </w:r>
    </w:p>
    <w:p>
      <w:pPr>
        <w:pStyle w:val="Compact"/>
        <w:numPr>
          <w:ilvl w:val="0"/>
          <w:numId w:val="1011"/>
        </w:numPr>
      </w:pPr>
      <w:r>
        <w:t xml:space="preserve">Competitors: Nokia (Infinera), Cisco (Acacia), Huawei, Coherent </w:t>
      </w:r>
      <w:r>
        <w:rPr>
          <w:rFonts w:hint="eastAsia"/>
        </w:rPr>
        <w:t xml:space="preserve">pluggables｜诺基亚、思科、华为、Coherent</w:t>
      </w:r>
    </w:p>
    <w:p>
      <w:pPr>
        <w:pStyle w:val="Compact"/>
        <w:numPr>
          <w:ilvl w:val="0"/>
          <w:numId w:val="1011"/>
        </w:numPr>
      </w:pPr>
      <w:r>
        <w:t xml:space="preserve">Bottlenecks/regulation: Component supply, hyperscaler DCI </w:t>
      </w:r>
      <w:r>
        <w:rPr>
          <w:rFonts w:hint="eastAsia"/>
        </w:rPr>
        <w:t xml:space="preserve">cycles｜器件供应、云厂DCI周期</w:t>
      </w:r>
    </w:p>
    <w:p>
      <w:pPr>
        <w:pStyle w:val="Compact"/>
        <w:numPr>
          <w:ilvl w:val="0"/>
          <w:numId w:val="1011"/>
        </w:numPr>
      </w:pPr>
      <w:r>
        <w:t xml:space="preserve">KPIs: Revenue, cloud mix, GM%, </w:t>
      </w:r>
      <w:r>
        <w:rPr>
          <w:rFonts w:hint="eastAsia"/>
        </w:rPr>
        <w:t xml:space="preserve">backlog｜收入、云占比、毛利率、积压</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1.7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0.1 bn USD</w:t>
            </w:r>
          </w:p>
        </w:tc>
        <w:tc>
          <w:tcPr/>
          <w:p>
            <w:pPr>
              <w:pStyle w:val="Compact"/>
            </w:pPr>
            <w:r>
              <w:t xml:space="preserve">18.1%</w:t>
            </w:r>
          </w:p>
        </w:tc>
      </w:tr>
      <w:tr>
        <w:tc>
          <w:tcPr/>
          <w:p>
            <w:pPr>
              <w:pStyle w:val="Compact"/>
            </w:pPr>
            <w:r>
              <w:t xml:space="preserve">2026-04-30</w:t>
            </w:r>
          </w:p>
        </w:tc>
        <w:tc>
          <w:tcPr/>
          <w:p>
            <w:pPr>
              <w:pStyle w:val="Compact"/>
            </w:pPr>
            <w:r>
              <w:t xml:space="preserve">1.6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15.2%</w:t>
            </w:r>
          </w:p>
        </w:tc>
      </w:tr>
      <w:tr>
        <w:tc>
          <w:tcPr/>
          <w:p>
            <w:pPr>
              <w:pStyle w:val="Compact"/>
            </w:pPr>
            <w:r>
              <w:t xml:space="preserve">2026-01-31</w:t>
            </w:r>
          </w:p>
        </w:tc>
        <w:tc>
          <w:tcPr/>
          <w:p>
            <w:pPr>
              <w:pStyle w:val="Compact"/>
            </w:pPr>
            <w:r>
              <w:t xml:space="preserve">1.4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13.4%</w:t>
            </w:r>
          </w:p>
        </w:tc>
      </w:tr>
      <w:tr>
        <w:tc>
          <w:tcPr/>
          <w:p>
            <w:pPr>
              <w:pStyle w:val="Compact"/>
            </w:pPr>
            <w:r>
              <w:t xml:space="preserve">2025-10-31</w:t>
            </w:r>
          </w:p>
        </w:tc>
        <w:tc>
          <w:tcPr/>
          <w:p>
            <w:pPr>
              <w:pStyle w:val="Compact"/>
            </w:pPr>
            <w:r>
              <w:t xml:space="preserve">1.4 bn USD</w:t>
            </w:r>
          </w:p>
        </w:tc>
        <w:tc>
          <w:tcPr/>
          <w:p>
            <w:pPr>
              <w:pStyle w:val="Compact"/>
            </w:pPr>
            <w:r>
              <w:t xml:space="preserve">0.6 bn USD</w:t>
            </w:r>
          </w:p>
        </w:tc>
        <w:tc>
          <w:tcPr/>
          <w:p>
            <w:pPr>
              <w:pStyle w:val="Compact"/>
            </w:pPr>
            <w:r>
              <w:t xml:space="preserve">0.1 bn USD</w:t>
            </w:r>
          </w:p>
        </w:tc>
        <w:tc>
          <w:tcPr/>
          <w:p>
            <w:pPr>
              <w:pStyle w:val="Compact"/>
            </w:pPr>
            <w:r>
              <w:t xml:space="preserve">19.5 mn USD</w:t>
            </w:r>
          </w:p>
        </w:tc>
        <w:tc>
          <w:tcPr/>
          <w:p>
            <w:pPr>
              <w:pStyle w:val="Compact"/>
            </w:pPr>
            <w:r>
              <w:t xml:space="preserve">0.3 bn USD</w:t>
            </w:r>
          </w:p>
        </w:tc>
        <w:tc>
          <w:tcPr/>
          <w:p>
            <w:pPr>
              <w:pStyle w:val="Compact"/>
            </w:pPr>
            <w:r>
              <w:t xml:space="preserve">8.8%</w:t>
            </w:r>
          </w:p>
        </w:tc>
      </w:tr>
      <w:tr>
        <w:tc>
          <w:tcPr/>
          <w:p>
            <w:pPr>
              <w:pStyle w:val="Compact"/>
            </w:pPr>
            <w:r>
              <w:t xml:space="preserve">2025-07-31</w:t>
            </w:r>
          </w:p>
        </w:tc>
        <w:tc>
          <w:tcPr/>
          <w:p>
            <w:pPr>
              <w:pStyle w:val="Compact"/>
            </w:pPr>
            <w:r>
              <w:t xml:space="preserve">1.2 bn USD</w:t>
            </w:r>
          </w:p>
        </w:tc>
        <w:tc>
          <w:tcPr/>
          <w:p>
            <w:pPr>
              <w:pStyle w:val="Compact"/>
            </w:pPr>
            <w:r>
              <w:t xml:space="preserve">0.5 bn USD</w:t>
            </w:r>
          </w:p>
        </w:tc>
        <w:tc>
          <w:tcPr/>
          <w:p>
            <w:pPr>
              <w:pStyle w:val="Compact"/>
            </w:pPr>
            <w:r>
              <w:t xml:space="preserve">75.3 mn USD</w:t>
            </w:r>
          </w:p>
        </w:tc>
        <w:tc>
          <w:tcPr/>
          <w:p>
            <w:pPr>
              <w:pStyle w:val="Compact"/>
            </w:pPr>
            <w:r>
              <w:t xml:space="preserve">50.3 mn USD</w:t>
            </w:r>
          </w:p>
        </w:tc>
        <w:tc>
          <w:tcPr/>
          <w:p>
            <w:pPr>
              <w:pStyle w:val="Compact"/>
            </w:pPr>
            <w:r>
              <w:t xml:space="preserve">0.1 bn USD</w:t>
            </w:r>
          </w:p>
        </w:tc>
        <w:tc>
          <w:tcPr/>
          <w:p>
            <w:pPr>
              <w:pStyle w:val="Compact"/>
            </w:pPr>
            <w:r>
              <w:t xml:space="preserve">6.2%</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2.6 bn USD; debt 3.3 bn USD; TTM FCF 0.8 bn USD (FCF margin 13.5%).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0.91</w:t>
            </w:r>
          </w:p>
        </w:tc>
        <w:tc>
          <w:tcPr/>
          <w:p>
            <w:pPr>
              <w:pStyle w:val="Compact"/>
            </w:pPr>
            <w:r>
              <w:t xml:space="preserve">0.76964</w:t>
            </w:r>
          </w:p>
        </w:tc>
        <w:tc>
          <w:tcPr/>
          <w:p>
            <w:pPr>
              <w:pStyle w:val="Compact"/>
            </w:pPr>
            <w:r>
              <w:t xml:space="preserve">0.1824</w:t>
            </w:r>
          </w:p>
        </w:tc>
      </w:tr>
      <w:tr>
        <w:tc>
          <w:tcPr/>
          <w:p>
            <w:pPr>
              <w:pStyle w:val="Compact"/>
            </w:pPr>
            <w:r>
              <w:t xml:space="preserve">2026-01-31</w:t>
            </w:r>
          </w:p>
        </w:tc>
        <w:tc>
          <w:tcPr/>
          <w:p>
            <w:pPr>
              <w:pStyle w:val="Compact"/>
            </w:pPr>
            <w:r>
              <w:t xml:space="preserve">1.35</w:t>
            </w:r>
          </w:p>
        </w:tc>
        <w:tc>
          <w:tcPr/>
          <w:p>
            <w:pPr>
              <w:pStyle w:val="Compact"/>
            </w:pPr>
            <w:r>
              <w:t xml:space="preserve">1.16833</w:t>
            </w:r>
          </w:p>
        </w:tc>
        <w:tc>
          <w:tcPr/>
          <w:p>
            <w:pPr>
              <w:pStyle w:val="Compact"/>
            </w:pPr>
            <w:r>
              <w:t xml:space="preserve">0.1555</w:t>
            </w:r>
          </w:p>
        </w:tc>
      </w:tr>
      <w:tr>
        <w:tc>
          <w:tcPr/>
          <w:p>
            <w:pPr>
              <w:pStyle w:val="Compact"/>
            </w:pPr>
            <w:r>
              <w:t xml:space="preserve">2026-04-30</w:t>
            </w:r>
          </w:p>
        </w:tc>
        <w:tc>
          <w:tcPr/>
          <w:p>
            <w:pPr>
              <w:pStyle w:val="Compact"/>
            </w:pPr>
            <w:r>
              <w:t xml:space="preserve">1.64</w:t>
            </w:r>
          </w:p>
        </w:tc>
        <w:tc>
          <w:tcPr/>
          <w:p>
            <w:pPr>
              <w:pStyle w:val="Compact"/>
            </w:pPr>
            <w:r>
              <w:t xml:space="preserve">1.45989</w:t>
            </w:r>
          </w:p>
        </w:tc>
        <w:tc>
          <w:tcPr/>
          <w:p>
            <w:pPr>
              <w:pStyle w:val="Compact"/>
            </w:pPr>
            <w:r>
              <w:t xml:space="preserve">0.1234</w:t>
            </w:r>
          </w:p>
        </w:tc>
      </w:tr>
      <w:tr>
        <w:tc>
          <w:tcPr/>
          <w:p>
            <w:pPr>
              <w:pStyle w:val="Compact"/>
            </w:pPr>
            <w:r>
              <w:t xml:space="preserve">2026-07-31</w:t>
            </w:r>
          </w:p>
        </w:tc>
        <w:tc>
          <w:tcPr/>
          <w:p>
            <w:pPr>
              <w:pStyle w:val="Compact"/>
            </w:pPr>
            <w:r>
              <w:t xml:space="preserve">2.11</w:t>
            </w:r>
          </w:p>
        </w:tc>
        <w:tc>
          <w:tcPr/>
          <w:p>
            <w:pPr>
              <w:pStyle w:val="Compact"/>
            </w:pPr>
            <w:r>
              <w:t xml:space="preserve">1.72756</w:t>
            </w:r>
          </w:p>
        </w:tc>
        <w:tc>
          <w:tcPr/>
          <w:p>
            <w:pPr>
              <w:pStyle w:val="Compact"/>
            </w:pPr>
            <w:r>
              <w:t xml:space="preserve">0.2214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2026-09-03</w:t>
      </w:r>
      <w:r>
        <w:t xml:space="preserve">; current-quarter EPS consensus 1.61699 (5 analysts); revenue consensus 1.8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$92.93</w:t>
            </w:r>
          </w:p>
        </w:tc>
        <w:tc>
          <w:tcPr/>
          <w:p>
            <w:pPr>
              <w:pStyle w:val="Compact"/>
            </w:pPr>
            <w:r>
              <w:t xml:space="preserve">-74.2%</w:t>
            </w:r>
          </w:p>
        </w:tc>
      </w:tr>
      <w:tr>
        <w:tc>
          <w:tcPr/>
          <w:p>
            <w:pPr>
              <w:pStyle w:val="Compact"/>
            </w:pPr>
            <w:r>
              <w:t xml:space="preserve">2Q</w:t>
            </w:r>
          </w:p>
        </w:tc>
        <w:tc>
          <w:tcPr/>
          <w:p>
            <w:pPr>
              <w:pStyle w:val="Compact"/>
            </w:pPr>
            <w:r>
              <w:t xml:space="preserve">Base</w:t>
            </w:r>
          </w:p>
        </w:tc>
        <w:tc>
          <w:tcPr/>
          <w:p>
            <w:pPr>
              <w:pStyle w:val="Compact"/>
            </w:pPr>
            <w:r>
              <w:t xml:space="preserve">$205.83</w:t>
            </w:r>
          </w:p>
        </w:tc>
        <w:tc>
          <w:tcPr/>
          <w:p>
            <w:pPr>
              <w:pStyle w:val="Compact"/>
            </w:pPr>
            <w:r>
              <w:t xml:space="preserve">-42.8%</w:t>
            </w:r>
          </w:p>
        </w:tc>
      </w:tr>
      <w:tr>
        <w:tc>
          <w:tcPr/>
          <w:p>
            <w:pPr>
              <w:pStyle w:val="Compact"/>
            </w:pPr>
            <w:r>
              <w:t xml:space="preserve">2Q</w:t>
            </w:r>
          </w:p>
        </w:tc>
        <w:tc>
          <w:tcPr/>
          <w:p>
            <w:pPr>
              <w:pStyle w:val="Compact"/>
            </w:pPr>
            <w:r>
              <w:t xml:space="preserve">Bull</w:t>
            </w:r>
          </w:p>
        </w:tc>
        <w:tc>
          <w:tcPr/>
          <w:p>
            <w:pPr>
              <w:pStyle w:val="Compact"/>
            </w:pPr>
            <w:r>
              <w:t xml:space="preserve">$338.27</w:t>
            </w:r>
          </w:p>
        </w:tc>
        <w:tc>
          <w:tcPr/>
          <w:p>
            <w:pPr>
              <w:pStyle w:val="Compact"/>
            </w:pPr>
            <w:r>
              <w:t xml:space="preserve">-5.9%</w:t>
            </w:r>
          </w:p>
        </w:tc>
      </w:tr>
      <w:tr>
        <w:tc>
          <w:tcPr/>
          <w:p>
            <w:pPr>
              <w:pStyle w:val="Compact"/>
            </w:pPr>
            <w:r>
              <w:t xml:space="preserve">4Q</w:t>
            </w:r>
          </w:p>
        </w:tc>
        <w:tc>
          <w:tcPr/>
          <w:p>
            <w:pPr>
              <w:pStyle w:val="Compact"/>
            </w:pPr>
            <w:r>
              <w:t xml:space="preserve">Bear</w:t>
            </w:r>
          </w:p>
        </w:tc>
        <w:tc>
          <w:tcPr/>
          <w:p>
            <w:pPr>
              <w:pStyle w:val="Compact"/>
            </w:pPr>
            <w:r>
              <w:t xml:space="preserve">$93.24</w:t>
            </w:r>
          </w:p>
        </w:tc>
        <w:tc>
          <w:tcPr/>
          <w:p>
            <w:pPr>
              <w:pStyle w:val="Compact"/>
            </w:pPr>
            <w:r>
              <w:t xml:space="preserve">-74.1%</w:t>
            </w:r>
          </w:p>
        </w:tc>
      </w:tr>
      <w:tr>
        <w:tc>
          <w:tcPr/>
          <w:p>
            <w:pPr>
              <w:pStyle w:val="Compact"/>
            </w:pPr>
            <w:r>
              <w:t xml:space="preserve">4Q</w:t>
            </w:r>
          </w:p>
        </w:tc>
        <w:tc>
          <w:tcPr/>
          <w:p>
            <w:pPr>
              <w:pStyle w:val="Compact"/>
            </w:pPr>
            <w:r>
              <w:t xml:space="preserve">Base</w:t>
            </w:r>
          </w:p>
        </w:tc>
        <w:tc>
          <w:tcPr/>
          <w:p>
            <w:pPr>
              <w:pStyle w:val="Compact"/>
            </w:pPr>
            <w:r>
              <w:t xml:space="preserve">$225.89</w:t>
            </w:r>
          </w:p>
        </w:tc>
        <w:tc>
          <w:tcPr/>
          <w:p>
            <w:pPr>
              <w:pStyle w:val="Compact"/>
            </w:pPr>
            <w:r>
              <w:t xml:space="preserve">-37.2%</w:t>
            </w:r>
          </w:p>
        </w:tc>
      </w:tr>
      <w:tr>
        <w:tc>
          <w:tcPr/>
          <w:p>
            <w:pPr>
              <w:pStyle w:val="Compact"/>
            </w:pPr>
            <w:r>
              <w:t xml:space="preserve">4Q</w:t>
            </w:r>
          </w:p>
        </w:tc>
        <w:tc>
          <w:tcPr/>
          <w:p>
            <w:pPr>
              <w:pStyle w:val="Compact"/>
            </w:pPr>
            <w:r>
              <w:t xml:space="preserve">Bull</w:t>
            </w:r>
          </w:p>
        </w:tc>
        <w:tc>
          <w:tcPr/>
          <w:p>
            <w:pPr>
              <w:pStyle w:val="Compact"/>
            </w:pPr>
            <w:r>
              <w:t xml:space="preserve">$390.46</w:t>
            </w:r>
          </w:p>
        </w:tc>
        <w:tc>
          <w:tcPr/>
          <w:p>
            <w:pPr>
              <w:pStyle w:val="Compact"/>
            </w:pPr>
            <w:r>
              <w:t xml:space="preserve">8.6%</w:t>
            </w:r>
          </w:p>
        </w:tc>
      </w:tr>
      <w:tr>
        <w:tc>
          <w:tcPr/>
          <w:p>
            <w:pPr>
              <w:pStyle w:val="Compact"/>
            </w:pPr>
            <w:r>
              <w:t xml:space="preserve">6Q</w:t>
            </w:r>
          </w:p>
        </w:tc>
        <w:tc>
          <w:tcPr/>
          <w:p>
            <w:pPr>
              <w:pStyle w:val="Compact"/>
            </w:pPr>
            <w:r>
              <w:t xml:space="preserve">Bear</w:t>
            </w:r>
          </w:p>
        </w:tc>
        <w:tc>
          <w:tcPr/>
          <w:p>
            <w:pPr>
              <w:pStyle w:val="Compact"/>
            </w:pPr>
            <w:r>
              <w:t xml:space="preserve">$93.52</w:t>
            </w:r>
          </w:p>
        </w:tc>
        <w:tc>
          <w:tcPr/>
          <w:p>
            <w:pPr>
              <w:pStyle w:val="Compact"/>
            </w:pPr>
            <w:r>
              <w:t xml:space="preserve">-74.0%</w:t>
            </w:r>
          </w:p>
        </w:tc>
      </w:tr>
      <w:tr>
        <w:tc>
          <w:tcPr/>
          <w:p>
            <w:pPr>
              <w:pStyle w:val="Compact"/>
            </w:pPr>
            <w:r>
              <w:t xml:space="preserve">6Q</w:t>
            </w:r>
          </w:p>
        </w:tc>
        <w:tc>
          <w:tcPr/>
          <w:p>
            <w:pPr>
              <w:pStyle w:val="Compact"/>
            </w:pPr>
            <w:r>
              <w:t xml:space="preserve">Base</w:t>
            </w:r>
          </w:p>
        </w:tc>
        <w:tc>
          <w:tcPr/>
          <w:p>
            <w:pPr>
              <w:pStyle w:val="Compact"/>
            </w:pPr>
            <w:r>
              <w:t xml:space="preserve">$247.78</w:t>
            </w:r>
          </w:p>
        </w:tc>
        <w:tc>
          <w:tcPr/>
          <w:p>
            <w:pPr>
              <w:pStyle w:val="Compact"/>
            </w:pPr>
            <w:r>
              <w:t xml:space="preserve">-31.1%</w:t>
            </w:r>
          </w:p>
        </w:tc>
      </w:tr>
      <w:tr>
        <w:tc>
          <w:tcPr/>
          <w:p>
            <w:pPr>
              <w:pStyle w:val="Compact"/>
            </w:pPr>
            <w:r>
              <w:t xml:space="preserve">6Q</w:t>
            </w:r>
          </w:p>
        </w:tc>
        <w:tc>
          <w:tcPr/>
          <w:p>
            <w:pPr>
              <w:pStyle w:val="Compact"/>
            </w:pPr>
            <w:r>
              <w:t xml:space="preserve">Bull</w:t>
            </w:r>
          </w:p>
        </w:tc>
        <w:tc>
          <w:tcPr/>
          <w:p>
            <w:pPr>
              <w:pStyle w:val="Compact"/>
            </w:pPr>
            <w:r>
              <w:t xml:space="preserve">$450.26</w:t>
            </w:r>
          </w:p>
        </w:tc>
        <w:tc>
          <w:tcPr/>
          <w:p>
            <w:pPr>
              <w:pStyle w:val="Compact"/>
            </w:pPr>
            <w:r>
              <w:t xml:space="preserve">25.2%</w:t>
            </w:r>
          </w:p>
        </w:tc>
      </w:tr>
      <w:tr>
        <w:tc>
          <w:tcPr/>
          <w:p>
            <w:pPr>
              <w:pStyle w:val="Compact"/>
            </w:pPr>
            <w:r>
              <w:t xml:space="preserve">8Q</w:t>
            </w:r>
          </w:p>
        </w:tc>
        <w:tc>
          <w:tcPr/>
          <w:p>
            <w:pPr>
              <w:pStyle w:val="Compact"/>
            </w:pPr>
            <w:r>
              <w:t xml:space="preserve">Bear</w:t>
            </w:r>
          </w:p>
        </w:tc>
        <w:tc>
          <w:tcPr/>
          <w:p>
            <w:pPr>
              <w:pStyle w:val="Compact"/>
            </w:pPr>
            <w:r>
              <w:t xml:space="preserve">$93.77</w:t>
            </w:r>
          </w:p>
        </w:tc>
        <w:tc>
          <w:tcPr/>
          <w:p>
            <w:pPr>
              <w:pStyle w:val="Compact"/>
            </w:pPr>
            <w:r>
              <w:t xml:space="preserve">-73.9%</w:t>
            </w:r>
          </w:p>
        </w:tc>
      </w:tr>
      <w:tr>
        <w:tc>
          <w:tcPr/>
          <w:p>
            <w:pPr>
              <w:pStyle w:val="Compact"/>
            </w:pPr>
            <w:r>
              <w:t xml:space="preserve">8Q</w:t>
            </w:r>
          </w:p>
        </w:tc>
        <w:tc>
          <w:tcPr/>
          <w:p>
            <w:pPr>
              <w:pStyle w:val="Compact"/>
            </w:pPr>
            <w:r>
              <w:t xml:space="preserve">Base</w:t>
            </w:r>
          </w:p>
        </w:tc>
        <w:tc>
          <w:tcPr/>
          <w:p>
            <w:pPr>
              <w:pStyle w:val="Compact"/>
            </w:pPr>
            <w:r>
              <w:t xml:space="preserve">$271.67</w:t>
            </w:r>
          </w:p>
        </w:tc>
        <w:tc>
          <w:tcPr/>
          <w:p>
            <w:pPr>
              <w:pStyle w:val="Compact"/>
            </w:pPr>
            <w:r>
              <w:t xml:space="preserve">-24.5%</w:t>
            </w:r>
          </w:p>
        </w:tc>
      </w:tr>
      <w:tr>
        <w:tc>
          <w:tcPr/>
          <w:p>
            <w:pPr>
              <w:pStyle w:val="Compact"/>
            </w:pPr>
            <w:r>
              <w:t xml:space="preserve">8Q</w:t>
            </w:r>
          </w:p>
        </w:tc>
        <w:tc>
          <w:tcPr/>
          <w:p>
            <w:pPr>
              <w:pStyle w:val="Compact"/>
            </w:pPr>
            <w:r>
              <w:t xml:space="preserve">Bull</w:t>
            </w:r>
          </w:p>
        </w:tc>
        <w:tc>
          <w:tcPr/>
          <w:p>
            <w:pPr>
              <w:pStyle w:val="Compact"/>
            </w:pPr>
            <w:r>
              <w:t xml:space="preserve">$518.72</w:t>
            </w:r>
          </w:p>
        </w:tc>
        <w:tc>
          <w:tcPr/>
          <w:p>
            <w:pPr>
              <w:pStyle w:val="Compact"/>
            </w:pPr>
            <w:r>
              <w:t xml:space="preserve">44.3%</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41.0x</w:t>
            </w:r>
          </w:p>
        </w:tc>
      </w:tr>
      <w:tr>
        <w:tc>
          <w:tcPr/>
          <w:p>
            <w:pPr>
              <w:pStyle w:val="Compact"/>
            </w:pPr>
            <w:r>
              <w:t xml:space="preserve">4Q</w:t>
            </w:r>
          </w:p>
        </w:tc>
        <w:tc>
          <w:tcPr/>
          <w:p>
            <w:pPr>
              <w:pStyle w:val="Compact"/>
            </w:pPr>
            <w:r>
              <w:t xml:space="preserve">35.5x</w:t>
            </w:r>
          </w:p>
        </w:tc>
      </w:tr>
      <w:tr>
        <w:tc>
          <w:tcPr/>
          <w:p>
            <w:pPr>
              <w:pStyle w:val="Compact"/>
            </w:pPr>
            <w:r>
              <w:t xml:space="preserve">6Q</w:t>
            </w:r>
          </w:p>
        </w:tc>
        <w:tc>
          <w:tcPr/>
          <w:p>
            <w:pPr>
              <w:pStyle w:val="Compact"/>
            </w:pPr>
            <w:r>
              <w:t xml:space="preserve">30.7x</w:t>
            </w:r>
          </w:p>
        </w:tc>
      </w:tr>
      <w:tr>
        <w:tc>
          <w:tcPr/>
          <w:p>
            <w:pPr>
              <w:pStyle w:val="Compact"/>
            </w:pPr>
            <w:r>
              <w:t xml:space="preserve">8Q</w:t>
            </w:r>
          </w:p>
        </w:tc>
        <w:tc>
          <w:tcPr/>
          <w:p>
            <w:pPr>
              <w:pStyle w:val="Compact"/>
            </w:pPr>
            <w:r>
              <w:t xml:space="preserve">26.5x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15.5%</w:t>
            </w:r>
          </w:p>
        </w:tc>
        <w:tc>
          <w:tcPr/>
          <w:p>
            <w:pPr>
              <w:pStyle w:val="Compact"/>
            </w:pPr>
            <w:r>
              <w:t xml:space="preserve">12.0%</w:t>
            </w:r>
          </w:p>
        </w:tc>
        <w:tc>
          <w:tcPr/>
          <w:p>
            <w:pPr>
              <w:pStyle w:val="Compact"/>
            </w:pPr>
            <w:r>
              <w:t xml:space="preserve">12.7%</w:t>
            </w:r>
          </w:p>
        </w:tc>
        <w:tc>
          <w:tcPr/>
          <w:p>
            <w:pPr>
              <w:pStyle w:val="Compact"/>
            </w:pPr>
            <w:r>
              <w:t xml:space="preserve">2.5%</w:t>
            </w:r>
          </w:p>
        </w:tc>
        <w:tc>
          <w:tcPr/>
          <w:p>
            <w:pPr>
              <w:pStyle w:val="Compact"/>
            </w:pPr>
            <w:r>
              <w:t xml:space="preserve">25.0%</w:t>
            </w:r>
          </w:p>
        </w:tc>
        <w:tc>
          <w:tcPr/>
          <w:p>
            <w:pPr>
              <w:pStyle w:val="Compact"/>
            </w:pPr>
            <w:r>
              <w:t xml:space="preserve">$80.89</w:t>
            </w:r>
          </w:p>
        </w:tc>
        <w:tc>
          <w:tcPr/>
          <w:p>
            <w:pPr>
              <w:pStyle w:val="Compact"/>
            </w:pPr>
            <w:r>
              <w:t xml:space="preserve">-77.5%</w:t>
            </w:r>
          </w:p>
        </w:tc>
      </w:tr>
      <w:tr>
        <w:tc>
          <w:tcPr/>
          <w:p>
            <w:pPr>
              <w:pStyle w:val="Compact"/>
            </w:pPr>
            <w:r>
              <w:t xml:space="preserve">Base</w:t>
            </w:r>
          </w:p>
        </w:tc>
        <w:tc>
          <w:tcPr/>
          <w:p>
            <w:pPr>
              <w:pStyle w:val="Compact"/>
            </w:pPr>
            <w:r>
              <w:t xml:space="preserve">30.9%</w:t>
            </w:r>
          </w:p>
        </w:tc>
        <w:tc>
          <w:tcPr/>
          <w:p>
            <w:pPr>
              <w:pStyle w:val="Compact"/>
            </w:pPr>
            <w:r>
              <w:t xml:space="preserve">15.0%</w:t>
            </w:r>
          </w:p>
        </w:tc>
        <w:tc>
          <w:tcPr/>
          <w:p>
            <w:pPr>
              <w:pStyle w:val="Compact"/>
            </w:pPr>
            <w:r>
              <w:t xml:space="preserve">11.7%</w:t>
            </w:r>
          </w:p>
        </w:tc>
        <w:tc>
          <w:tcPr/>
          <w:p>
            <w:pPr>
              <w:pStyle w:val="Compact"/>
            </w:pPr>
            <w:r>
              <w:t xml:space="preserve">3.0%</w:t>
            </w:r>
          </w:p>
        </w:tc>
        <w:tc>
          <w:tcPr/>
          <w:p>
            <w:pPr>
              <w:pStyle w:val="Compact"/>
            </w:pPr>
            <w:r>
              <w:t xml:space="preserve">50.0%</w:t>
            </w:r>
          </w:p>
        </w:tc>
        <w:tc>
          <w:tcPr/>
          <w:p>
            <w:pPr>
              <w:pStyle w:val="Compact"/>
            </w:pPr>
            <w:r>
              <w:t xml:space="preserve">$212.50</w:t>
            </w:r>
          </w:p>
        </w:tc>
        <w:tc>
          <w:tcPr/>
          <w:p>
            <w:pPr>
              <w:pStyle w:val="Compact"/>
            </w:pPr>
            <w:r>
              <w:t xml:space="preserve">-40.9%</w:t>
            </w:r>
          </w:p>
        </w:tc>
      </w:tr>
      <w:tr>
        <w:tc>
          <w:tcPr/>
          <w:p>
            <w:pPr>
              <w:pStyle w:val="Compact"/>
            </w:pPr>
            <w:r>
              <w:t xml:space="preserve">Bull</w:t>
            </w:r>
          </w:p>
        </w:tc>
        <w:tc>
          <w:tcPr/>
          <w:p>
            <w:pPr>
              <w:pStyle w:val="Compact"/>
            </w:pPr>
            <w:r>
              <w:t xml:space="preserve">40.2%</w:t>
            </w:r>
          </w:p>
        </w:tc>
        <w:tc>
          <w:tcPr/>
          <w:p>
            <w:pPr>
              <w:pStyle w:val="Compact"/>
            </w:pPr>
            <w:r>
              <w:t xml:space="preserve">17.2%</w:t>
            </w:r>
          </w:p>
        </w:tc>
        <w:tc>
          <w:tcPr/>
          <w:p>
            <w:pPr>
              <w:pStyle w:val="Compact"/>
            </w:pPr>
            <w:r>
              <w:t xml:space="preserve">11.2%</w:t>
            </w:r>
          </w:p>
        </w:tc>
        <w:tc>
          <w:tcPr/>
          <w:p>
            <w:pPr>
              <w:pStyle w:val="Compact"/>
            </w:pPr>
            <w:r>
              <w:t xml:space="preserve">3.5%</w:t>
            </w:r>
          </w:p>
        </w:tc>
        <w:tc>
          <w:tcPr/>
          <w:p>
            <w:pPr>
              <w:pStyle w:val="Compact"/>
            </w:pPr>
            <w:r>
              <w:t xml:space="preserve">25.0%</w:t>
            </w:r>
          </w:p>
        </w:tc>
        <w:tc>
          <w:tcPr/>
          <w:p>
            <w:pPr>
              <w:pStyle w:val="Compact"/>
            </w:pPr>
            <w:r>
              <w:t xml:space="preserve">$387.88</w:t>
            </w:r>
          </w:p>
        </w:tc>
        <w:tc>
          <w:tcPr/>
          <w:p>
            <w:pPr>
              <w:pStyle w:val="Compact"/>
            </w:pPr>
            <w:r>
              <w:t xml:space="preserve">7.9%</w:t>
            </w:r>
          </w:p>
        </w:tc>
      </w:tr>
    </w:tbl>
    <w:p>
      <w:pPr>
        <w:pStyle w:val="BodyText"/>
      </w:pPr>
      <w:r>
        <w:t xml:space="preserve">Probability-weighted value</w:t>
      </w:r>
      <w:r>
        <w:t xml:space="preserve"> </w:t>
      </w:r>
      <w:r>
        <w:rPr>
          <w:b/>
          <w:bCs/>
        </w:rPr>
        <w:t xml:space="preserve">$223.44</w:t>
      </w:r>
      <w:r>
        <w:t xml:space="preserve"> </w:t>
      </w:r>
      <w:r>
        <w:t xml:space="preserve">(-37.9%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30.8 bn USD; terminal share 54.0%.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45.6%</w:t>
      </w:r>
      <w:r>
        <w:t xml:space="preserve"> </w:t>
      </w:r>
      <w:r>
        <w:t xml:space="preserve">vs consensus FY+1 30.9%.</w:t>
      </w:r>
    </w:p>
    <w:p>
      <w:pPr>
        <w:pStyle w:val="Compact"/>
        <w:numPr>
          <w:ilvl w:val="0"/>
          <w:numId w:val="1013"/>
        </w:numPr>
      </w:pPr>
      <w:r>
        <w:t xml:space="preserve">WACC (CAPM) = rf 5.2% + β 1.29 × ERP 5.0% = 11.7%.</w:t>
      </w:r>
    </w:p>
    <w:p>
      <w:pPr>
        <w:pStyle w:val="Compact"/>
        <w:numPr>
          <w:ilvl w:val="0"/>
          <w:numId w:val="1013"/>
        </w:numPr>
      </w:pPr>
      <w:r>
        <w:t xml:space="preserve">SOTP segments: Networking platforms </w:t>
      </w:r>
      <w:r>
        <w:rPr>
          <w:rFonts w:hint="eastAsia"/>
        </w:rPr>
        <w:t xml:space="preserve">网络平台;</w:t>
      </w:r>
      <w:r>
        <w:t xml:space="preserve"> Platform software &amp; services </w:t>
      </w:r>
      <w:r>
        <w:rPr>
          <w:rFonts w:hint="eastAsia"/>
        </w:rPr>
        <w:t xml:space="preserve">软件服务;</w:t>
      </w:r>
      <w:r>
        <w:t xml:space="preserve"> Blue Planet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Carrier spending weak; competition from </w:t>
      </w:r>
      <w:r>
        <w:rPr>
          <w:rFonts w:hint="eastAsia"/>
        </w:rPr>
        <w:t xml:space="preserve">Nokia/Infinera｜运营商开支疲弱；诺基亚竞争</w:t>
      </w:r>
      <w:r>
        <w:t xml:space="preserve"> | Falsifiers: Order book/backlog falls; GM not </w:t>
      </w:r>
      <w:r>
        <w:rPr>
          <w:rFonts w:hint="eastAsia"/>
        </w:rPr>
        <w:t xml:space="preserve">improving｜订单/积压下降；毛利不改善</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CIEN_model_v20261015-0757.xlsx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2026-10-14T23:59:23Z</dcterms:created>
  <dcterms:modified xsi:type="dcterms:W3CDTF">2026-10-14T23:59:23Z</dcterms:modified>
</cp:coreProperties>
</file>

<file path=docProps/custom.xml><?xml version="1.0" encoding="utf-8"?>
<Properties xmlns="http://schemas.openxmlformats.org/officeDocument/2006/custom-properties" xmlns:vt="http://schemas.openxmlformats.org/officeDocument/2006/docPropsVTypes"/>
</file>