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rwv-初学者教学版-中文-v20261015-0757"/>
    <w:p>
      <w:pPr>
        <w:pStyle w:val="Heading1"/>
      </w:pPr>
      <w:r>
        <w:t xml:space="preserve">CRWV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CoreWeave, Inc. </w:t>
      </w:r>
      <w:r>
        <w:rPr>
          <w:rFonts w:hint="eastAsia"/>
        </w:rPr>
        <w:t xml:space="preserve">是一家</w:t>
      </w:r>
      <w:r>
        <w:t xml:space="preserve"> 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$65.78。我们的Base模型认为每股价值约</w:t>
      </w:r>
      <w:r>
        <w:t xml:space="preserve"> </w:t>
      </w:r>
      <w:r>
        <w:rPr>
          <w:rFonts w:hint="eastAsia"/>
        </w:rPr>
        <w:t xml:space="preserve">$498（656.7%）。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rPr>
          <w:rFonts w:hint="eastAsia"/>
        </w:rPr>
        <w:t xml:space="preserve">]（实际、预期、超预期%）。下次财报约</w:t>
      </w:r>
      <w:r>
        <w:t xml:space="preserve"> 2026-11-12。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AI neocloud GPU cloud </w:t>
      </w:r>
      <w:r>
        <w:rPr>
          <w:rFonts w:hint="eastAsia"/>
        </w:rPr>
        <w:t xml:space="preserve">AI新云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15.2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-5.6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-5.0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320.6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59.1%。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$-21 / Base $498 / Bull </w:t>
      </w:r>
      <w:r>
        <w:rPr>
          <w:rFonts w:hint="eastAsia"/>
        </w:rPr>
        <w:t xml:space="preserve">$1,739；概率加权</w:t>
      </w:r>
      <w:r>
        <w:t xml:space="preserve"> $678。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4047525571d2291b9f20329fababc019f3ba861"/>
    <w:p>
      <w:pPr>
        <w:pStyle w:val="Heading1"/>
      </w:pPr>
      <w:r>
        <w:t xml:space="preserve">CRWV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CoreWeave, Inc. is a AI neocloud GPU cloud </w:t>
      </w:r>
      <w:r>
        <w:rPr>
          <w:rFonts w:hint="eastAsia"/>
        </w:rPr>
        <w:t xml:space="preserve">AI新云</w:t>
      </w:r>
      <w:r>
        <w:t xml:space="preserve"> company. Price $65.78; our Base model value ≈ $498 (656.7%).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‘-1.14’</w:t>
      </w:r>
      <w:r>
        <w:t xml:space="preserve">,</w:t>
      </w:r>
      <w:r>
        <w:t xml:space="preserve"> </w:t>
      </w:r>
      <w:r>
        <w:t xml:space="preserve">‘-1.46997’</w:t>
      </w:r>
      <w:r>
        <w:t xml:space="preserve">,</w:t>
      </w:r>
      <w:r>
        <w:t xml:space="preserve"> </w:t>
      </w:r>
      <w:r>
        <w:t xml:space="preserve">‘0.2245’</w:t>
      </w:r>
      <w:r>
        <w:t xml:space="preserve">]. Next earnings ≈ 2026-11-12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7.6 bn USD; g₁ = 100.0%; m = long-run FCF margin = 15.0%; W = 11.7%.</w:t>
      </w:r>
      <w:r>
        <w:t xml:space="preserve"> </w:t>
      </w:r>
      <w:r>
        <w:t xml:space="preserve">R₁ = R₀×(1+g₁) = 15.2 bn USD; FCF₁ = -5.6 bn USD; PV = FCF₁/(1+W) = -5.0 bn USD; 10 years + terminal → EV 320.6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59.1%.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$-21 / Base $498 / Bull $1,739; weighted $678.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Delays in data-center delivery, refinancing stress, GPU price </w:t>
      </w:r>
      <w:r>
        <w:rPr>
          <w:rFonts w:hint="eastAsia"/>
        </w:rPr>
        <w:t xml:space="preserve">deflation｜交付延期、再融资压力、GPU租赁价格通缩</w:t>
      </w:r>
      <w:r>
        <w:t xml:space="preserve"> — Falsifiers: Active power MW below plan; interest expense outruns EBITDA growth; H100/B200 rental prices fall </w:t>
      </w:r>
      <w:r>
        <w:rPr>
          <w:rFonts w:hint="eastAsia"/>
        </w:rPr>
        <w:t xml:space="preserve">sharply｜在运营电力低于计划；利息增速超EBITDA；GPU租价暴跌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RWV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2026-10-14T23:59:19Z</dcterms:created>
  <dcterms:modified xsi:type="dcterms:W3CDTF">2026-10-14T23:59:19Z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