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c6a74651e37552b8672486823b3d54c8b67c94"/>
    <w:p>
      <w:pPr>
        <w:pStyle w:val="Heading1"/>
      </w:pPr>
      <w:r>
        <w:t xml:space="preserve">LITE Lumentum Holdings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v20261015-0757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2026-10-15 07:57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$896.33｜市值</w:t>
      </w:r>
      <w:r>
        <w:t xml:space="preserve"> 81.2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Lumentum是AI光互连上游’激光器瓶颈’受益者(EML、CPO用CW光源、OCS光交换)；股价已反映极高增长，对产能扩张与价格非常敏感。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Optical modules/lasers/CPO </w:t>
      </w:r>
      <w:r>
        <w:rPr>
          <w:rFonts w:hint="eastAsia"/>
        </w:rPr>
        <w:t xml:space="preserve">光模块/激光器/CPO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Components (EML, CW lasers) </w:t>
      </w:r>
      <w:r>
        <w:rPr>
          <w:rFonts w:hint="eastAsia"/>
        </w:rPr>
        <w:t xml:space="preserve">器件；Systems</w:t>
      </w:r>
      <w:r>
        <w:t xml:space="preserve">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2.7 bn </w:t>
      </w:r>
      <w:r>
        <w:rPr>
          <w:rFonts w:hint="eastAsia"/>
        </w:rPr>
        <w:t xml:space="preserve">USD；总负债</w:t>
      </w:r>
      <w:r>
        <w:t xml:space="preserve"> 1.7 bn </w:t>
      </w:r>
      <w:r>
        <w:rPr>
          <w:rFonts w:hint="eastAsia"/>
        </w:rPr>
        <w:t xml:space="preserve">USD；净现金</w:t>
      </w:r>
      <w:r>
        <w:t xml:space="preserve"> 1.1 bn USD。TTM FCF 0.3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10.0%）。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2026-11-06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4.20967（22位分析师）；收入一致预期</w:t>
      </w:r>
      <w:r>
        <w:t xml:space="preserve"> 1.3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$99.37</w:t>
            </w:r>
          </w:p>
        </w:tc>
        <w:tc>
          <w:tcPr/>
          <w:p>
            <w:pPr>
              <w:pStyle w:val="Compact"/>
            </w:pPr>
            <w:r>
              <w:t xml:space="preserve">-88.9%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$233.86</w:t>
            </w:r>
          </w:p>
        </w:tc>
        <w:tc>
          <w:tcPr/>
          <w:p>
            <w:pPr>
              <w:pStyle w:val="Compact"/>
            </w:pPr>
            <w:r>
              <w:t xml:space="preserve">-73.9%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$404.47</w:t>
            </w:r>
          </w:p>
        </w:tc>
        <w:tc>
          <w:tcPr/>
          <w:p>
            <w:pPr>
              <w:pStyle w:val="Compact"/>
            </w:pPr>
            <w:r>
              <w:t xml:space="preserve">-54.9%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$111.43</w:t>
            </w:r>
          </w:p>
        </w:tc>
        <w:tc>
          <w:tcPr/>
          <w:p>
            <w:pPr>
              <w:pStyle w:val="Compact"/>
            </w:pPr>
            <w:r>
              <w:t xml:space="preserve">-87.6%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$300.42</w:t>
            </w:r>
          </w:p>
        </w:tc>
        <w:tc>
          <w:tcPr/>
          <w:p>
            <w:pPr>
              <w:pStyle w:val="Compact"/>
            </w:pPr>
            <w:r>
              <w:t xml:space="preserve">-66.5%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$558.98</w:t>
            </w:r>
          </w:p>
        </w:tc>
        <w:tc>
          <w:tcPr/>
          <w:p>
            <w:pPr>
              <w:pStyle w:val="Compact"/>
            </w:pPr>
            <w:r>
              <w:t xml:space="preserve">-37.6%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$124.78</w:t>
            </w:r>
          </w:p>
        </w:tc>
        <w:tc>
          <w:tcPr/>
          <w:p>
            <w:pPr>
              <w:pStyle w:val="Compact"/>
            </w:pPr>
            <w:r>
              <w:t xml:space="preserve">-86.1%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$383.96</w:t>
            </w:r>
          </w:p>
        </w:tc>
        <w:tc>
          <w:tcPr/>
          <w:p>
            <w:pPr>
              <w:pStyle w:val="Compact"/>
            </w:pPr>
            <w:r>
              <w:t xml:space="preserve">-57.2%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$765.86</w:t>
            </w:r>
          </w:p>
        </w:tc>
        <w:tc>
          <w:tcPr/>
          <w:p>
            <w:pPr>
              <w:pStyle w:val="Compact"/>
            </w:pPr>
            <w:r>
              <w:t xml:space="preserve">-14.6%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$139.51</w:t>
            </w:r>
          </w:p>
        </w:tc>
        <w:tc>
          <w:tcPr/>
          <w:p>
            <w:pPr>
              <w:pStyle w:val="Compact"/>
            </w:pPr>
            <w:r>
              <w:t xml:space="preserve">-84.4%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$488.37</w:t>
            </w:r>
          </w:p>
        </w:tc>
        <w:tc>
          <w:tcPr/>
          <w:p>
            <w:pPr>
              <w:pStyle w:val="Compact"/>
            </w:pPr>
            <w:r>
              <w:t xml:space="preserve">-45.5%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$1,041.43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93.4x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67.6x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49.3x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36.2x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$158.11</w:t>
            </w:r>
          </w:p>
        </w:tc>
        <w:tc>
          <w:tcPr/>
          <w:p>
            <w:pPr>
              <w:pStyle w:val="Compact"/>
            </w:pPr>
            <w:r>
              <w:t xml:space="preserve">-82.4%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57.0%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$585.30</w:t>
            </w:r>
          </w:p>
        </w:tc>
        <w:tc>
          <w:tcPr/>
          <w:p>
            <w:pPr>
              <w:pStyle w:val="Compact"/>
            </w:pPr>
            <w:r>
              <w:t xml:space="preserve">-34.7%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74.0%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$1,298.45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$656.79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-26.7%）。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52.0 bn </w:t>
      </w:r>
      <w:r>
        <w:rPr>
          <w:rFonts w:hint="eastAsia"/>
        </w:rPr>
        <w:t xml:space="preserve">USD；终值占比</w:t>
      </w:r>
      <w:r>
        <w:t xml:space="preserve"> 56.6%。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70.4%</w:t>
      </w:r>
      <w:r>
        <w:rPr>
          <w:rFonts w:hint="eastAsia"/>
        </w:rPr>
        <w:t xml:space="preserve">；一致预期FY+1增速</w:t>
      </w:r>
      <w:r>
        <w:t xml:space="preserve"> 57.0%。</w:t>
      </w:r>
    </w:p>
    <w:p>
      <w:pPr>
        <w:numPr>
          <w:ilvl w:val="0"/>
          <w:numId w:val="1005"/>
        </w:numPr>
      </w:pPr>
      <w:r>
        <w:t xml:space="preserve">WACC (CAPM) = rf 5.2% + β 1.54 × ERP 5.0% = 12.9%。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LITE | 81.2 bn USD | 26.3x | 24.9x | 109.3% | 44.2% | 0.4% |</w:t>
      </w:r>
      <w:r>
        <w:t xml:space="preserve"> </w:t>
      </w:r>
      <w:r>
        <w:t xml:space="preserve">| COHR | 51.9 bn USD | 7.5x | 18.7x | 33.7% | 37.5% | -1.3% |</w:t>
      </w:r>
      <w:r>
        <w:t xml:space="preserve"> </w:t>
      </w:r>
      <w:r>
        <w:t xml:space="preserve">| CIEN | 51.0 bn USD | 8.6x | 30.4x | 37.0% | 44.1% | 1.2% |</w:t>
      </w:r>
      <w:r>
        <w:t xml:space="preserve"> </w:t>
      </w:r>
      <w:r>
        <w:t xml:space="preserve">| AAOI | 7.3 bn USD | 11.9x | 18.7x | 86.4% | 28.9% | -12.1% |</w:t>
      </w:r>
      <w:r>
        <w:t xml:space="preserve"> </w:t>
      </w:r>
      <w:r>
        <w:t xml:space="preserve">| GLW | 121.4 bn USD | 7.6x | 32.2x | 16.6% | 36.4% | 0.6%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896.3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2026-10-15T07:57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8.119e+10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2.738e+09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1.671e+09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3.014e+09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3.001e+08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1.536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0.0521</w:t>
            </w:r>
          </w:p>
        </w:tc>
        <w:tc>
          <w:tcPr/>
          <w:p>
            <w:pPr>
              <w:pStyle w:val="Compact"/>
            </w:pPr>
            <w:r>
              <w:t xml:space="preserve">FRED DGS10 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1.103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0.5696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1.54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0.5696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0.09957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LITE_model_v20261015-0757.xlsx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data/snapshots/20261015-0757</w:t>
      </w:r>
      <w:r>
        <w:t xml:space="preserve"> </w:t>
      </w:r>
      <w:r>
        <w:t xml:space="preserve">(immutable) | Fetched 2026-10-15 07:57 SGT | Generated 2026-10-15 07:58 SGT</w:t>
      </w:r>
    </w:p>
    <w:p>
      <w:pPr>
        <w:pStyle w:val="Compact"/>
        <w:numPr>
          <w:ilvl w:val="0"/>
          <w:numId w:val="1007"/>
        </w:numPr>
      </w:pPr>
      <w:r>
        <w:t xml:space="preserve">Version: v20261015-0757.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v20261015-0757: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2026-11-06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LITE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LITE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LITE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LITE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LITE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794559c476e91b71dc7e53c36d3e81fb33cfaae"/>
    <w:p>
      <w:pPr>
        <w:pStyle w:val="Heading1"/>
      </w:pPr>
      <w:r>
        <w:t xml:space="preserve">LITE Lumentum Holdings Inc. — Equity Deep Dive (Professional English) v20261015-0757</w:t>
      </w:r>
    </w:p>
    <w:p>
      <w:pPr>
        <w:pStyle w:val="BlockText"/>
      </w:pPr>
      <w:r>
        <w:t xml:space="preserve">Data as of 2026-10-15 07:57 SGT | Price $896.33 | Mkt cap 81.2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Lumentum benefits from the upstream</w:t>
      </w:r>
      <w:r>
        <w:t xml:space="preserve"> </w:t>
      </w:r>
      <w:r>
        <w:t xml:space="preserve">‘laser bottleneck’</w:t>
      </w:r>
      <w:r>
        <w:t xml:space="preserve"> </w:t>
      </w:r>
      <w:r>
        <w:t xml:space="preserve">in AI optics (EMLs, CW sources for CPO, OCS switching); the stock already prices very high growth and is sensitive to capacity additions and pricing.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Optical modules/lasers/CPO </w:t>
      </w:r>
      <w:r>
        <w:rPr>
          <w:rFonts w:hint="eastAsia"/>
        </w:rPr>
        <w:t xml:space="preserve">光模块/激光器/CPO</w:t>
      </w:r>
      <w:r>
        <w:t xml:space="preserve"> |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10"/>
        </w:numPr>
      </w:pPr>
      <w:r>
        <w:t xml:space="preserve">Customers: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11"/>
        </w:numPr>
      </w:pPr>
      <w:r>
        <w:t xml:space="preserve">Competitors: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11"/>
        </w:numPr>
      </w:pPr>
      <w:r>
        <w:t xml:space="preserve">Bottlenecks/regulation: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11"/>
        </w:numPr>
      </w:pPr>
      <w:r>
        <w:t xml:space="preserve">KPIs: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2.7 bn USD; debt 1.7 bn USD; TTM FCF 0.3 bn USD (FCF margin 10.0%).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2026-11-06</w:t>
      </w:r>
      <w:r>
        <w:t xml:space="preserve">; current-quarter EPS consensus 4.20967 (22 analysts); revenue consensus 1.3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$99.37</w:t>
            </w:r>
          </w:p>
        </w:tc>
        <w:tc>
          <w:tcPr/>
          <w:p>
            <w:pPr>
              <w:pStyle w:val="Compact"/>
            </w:pPr>
            <w:r>
              <w:t xml:space="preserve">-88.9%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$233.86</w:t>
            </w:r>
          </w:p>
        </w:tc>
        <w:tc>
          <w:tcPr/>
          <w:p>
            <w:pPr>
              <w:pStyle w:val="Compact"/>
            </w:pPr>
            <w:r>
              <w:t xml:space="preserve">-73.9%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$404.47</w:t>
            </w:r>
          </w:p>
        </w:tc>
        <w:tc>
          <w:tcPr/>
          <w:p>
            <w:pPr>
              <w:pStyle w:val="Compact"/>
            </w:pPr>
            <w:r>
              <w:t xml:space="preserve">-54.9%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$111.43</w:t>
            </w:r>
          </w:p>
        </w:tc>
        <w:tc>
          <w:tcPr/>
          <w:p>
            <w:pPr>
              <w:pStyle w:val="Compact"/>
            </w:pPr>
            <w:r>
              <w:t xml:space="preserve">-87.6%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$300.42</w:t>
            </w:r>
          </w:p>
        </w:tc>
        <w:tc>
          <w:tcPr/>
          <w:p>
            <w:pPr>
              <w:pStyle w:val="Compact"/>
            </w:pPr>
            <w:r>
              <w:t xml:space="preserve">-66.5%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$558.98</w:t>
            </w:r>
          </w:p>
        </w:tc>
        <w:tc>
          <w:tcPr/>
          <w:p>
            <w:pPr>
              <w:pStyle w:val="Compact"/>
            </w:pPr>
            <w:r>
              <w:t xml:space="preserve">-37.6%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$124.78</w:t>
            </w:r>
          </w:p>
        </w:tc>
        <w:tc>
          <w:tcPr/>
          <w:p>
            <w:pPr>
              <w:pStyle w:val="Compact"/>
            </w:pPr>
            <w:r>
              <w:t xml:space="preserve">-86.1%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$383.96</w:t>
            </w:r>
          </w:p>
        </w:tc>
        <w:tc>
          <w:tcPr/>
          <w:p>
            <w:pPr>
              <w:pStyle w:val="Compact"/>
            </w:pPr>
            <w:r>
              <w:t xml:space="preserve">-57.2%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$765.86</w:t>
            </w:r>
          </w:p>
        </w:tc>
        <w:tc>
          <w:tcPr/>
          <w:p>
            <w:pPr>
              <w:pStyle w:val="Compact"/>
            </w:pPr>
            <w:r>
              <w:t xml:space="preserve">-14.6%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$139.51</w:t>
            </w:r>
          </w:p>
        </w:tc>
        <w:tc>
          <w:tcPr/>
          <w:p>
            <w:pPr>
              <w:pStyle w:val="Compact"/>
            </w:pPr>
            <w:r>
              <w:t xml:space="preserve">-84.4%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$488.37</w:t>
            </w:r>
          </w:p>
        </w:tc>
        <w:tc>
          <w:tcPr/>
          <w:p>
            <w:pPr>
              <w:pStyle w:val="Compact"/>
            </w:pPr>
            <w:r>
              <w:t xml:space="preserve">-45.5%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$1,041.43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93.4x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67.6x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49.3x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36.2x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$158.11</w:t>
            </w:r>
          </w:p>
        </w:tc>
        <w:tc>
          <w:tcPr/>
          <w:p>
            <w:pPr>
              <w:pStyle w:val="Compact"/>
            </w:pPr>
            <w:r>
              <w:t xml:space="preserve">-82.4%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57.0%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$585.30</w:t>
            </w:r>
          </w:p>
        </w:tc>
        <w:tc>
          <w:tcPr/>
          <w:p>
            <w:pPr>
              <w:pStyle w:val="Compact"/>
            </w:pPr>
            <w:r>
              <w:t xml:space="preserve">-34.7%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74.0%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$1,298.45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$656.79</w:t>
      </w:r>
      <w:r>
        <w:t xml:space="preserve"> </w:t>
      </w:r>
      <w:r>
        <w:t xml:space="preserve">(-26.7%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52.0 bn USD; terminal share 56.6%.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70.4%</w:t>
      </w:r>
      <w:r>
        <w:t xml:space="preserve"> </w:t>
      </w:r>
      <w:r>
        <w:t xml:space="preserve">vs consensus FY+1 57.0%.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1.54 × ERP 5.0% = 12.9%.</w:t>
      </w:r>
    </w:p>
    <w:p>
      <w:pPr>
        <w:pStyle w:val="Compact"/>
        <w:numPr>
          <w:ilvl w:val="0"/>
          <w:numId w:val="1013"/>
        </w:numPr>
      </w:pPr>
      <w:r>
        <w:t xml:space="preserve">SOTP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|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LITE_model_v20261015-0757.xlsx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data/snapshots/20261015-0757</w:t>
      </w:r>
      <w:r>
        <w:t xml:space="preserve"> </w:t>
      </w:r>
      <w:r>
        <w:t xml:space="preserve">(immutable) | Fetched 2026-10-15 07:57 SGT | Generated 2026-10-15 07:58 SGT</w:t>
      </w:r>
      <w:r>
        <w:t xml:space="preserve"> </w:t>
      </w:r>
      <w:r>
        <w:t xml:space="preserve">- Version: v20261015-0757.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2026-10-14T23:59:08Z</dcterms:created>
  <dcterms:modified xsi:type="dcterms:W3CDTF">2026-10-14T23:59:08Z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