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rvl-初学者教学版-中文-v20261015-0757"/>
    <w:p>
      <w:pPr>
        <w:pStyle w:val="Heading1"/>
      </w:pPr>
      <w:r>
        <w:t xml:space="preserve">MRVL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Marvell Technology, Inc. </w:t>
      </w:r>
      <w:r>
        <w:rPr>
          <w:rFonts w:hint="eastAsia"/>
        </w:rPr>
        <w:t xml:space="preserve">是一家</w:t>
      </w:r>
      <w:r>
        <w:t xml:space="preserve"> 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$245.28。我们的Base模型认为每股价值约</w:t>
      </w:r>
      <w:r>
        <w:t xml:space="preserve"> </w:t>
      </w:r>
      <w:r>
        <w:rPr>
          <w:rFonts w:hint="eastAsia"/>
        </w:rPr>
        <w:t xml:space="preserve">$257（4.7%）。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9.5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63.2%；m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232.2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63.2%；价格隐含增速</w:t>
      </w:r>
      <w:r>
        <w:t xml:space="preserve"> 61.8%。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$60 / Base $257 / Bull </w:t>
      </w:r>
      <w:r>
        <w:rPr>
          <w:rFonts w:hint="eastAsia"/>
        </w:rPr>
        <w:t xml:space="preserve">$599；概率加权</w:t>
      </w:r>
      <w:r>
        <w:t xml:space="preserve"> $293。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be3b2f8fac603f8dd67e4212dfd08a00fddb42"/>
    <w:p>
      <w:pPr>
        <w:pStyle w:val="Heading1"/>
      </w:pPr>
      <w:r>
        <w:t xml:space="preserve">MRVL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Marvell Technology, Inc. is a Custom ASIC + electro-optics </w:t>
      </w:r>
      <w:r>
        <w:rPr>
          <w:rFonts w:hint="eastAsia"/>
        </w:rPr>
        <w:t xml:space="preserve">定制ASIC+光电DSP</w:t>
      </w:r>
      <w:r>
        <w:t xml:space="preserve"> company. Price $245.28; our Base model value ≈ $257 (4.7%).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9.5 bn USD; g₁ = 63.2%; m = long-run FCF margin = 30.0%; W = 13.2%.</w:t>
      </w:r>
      <w:r>
        <w:t xml:space="preserve"> </w:t>
      </w:r>
      <w:r>
        <w:t xml:space="preserve">R₁ = R₀×(1+g₁) = 15.4 bn USD; FCF₁ = 3.2 bn USD; PV = FCF₁/(1+W) = 2.8 bn USD; 10 years + terminal → EV 232.2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63.2%; price-implied growth 61.8%.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$60 / Base $257 / Bull $599; weighted $293.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—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RV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2026-10-14T23:59:00Z</dcterms:created>
  <dcterms:modified xsi:type="dcterms:W3CDTF">2026-10-14T23:59:00Z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