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724f4d8b7f3246f81c6289aaf7c0e591fece33"/>
    <w:p>
      <w:pPr>
        <w:pStyle w:val="Heading1"/>
      </w:pPr>
      <w:r>
        <w:t xml:space="preserve">QCOM QUALCOMM Incorporated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$172.62｜市值</w:t>
      </w:r>
      <w:r>
        <w:t xml:space="preserve"> 184.3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高通低估值反映手机成熟与苹果基带流失；多元化(汽车、PC、AI200数据中心推理)是重估关键，但需证据。</w:t>
      </w:r>
    </w:p>
    <w:p>
      <w:pPr>
        <w:pStyle w:val="Compact"/>
        <w:numPr>
          <w:ilvl w:val="0"/>
          <w:numId w:val="1001"/>
        </w:numPr>
      </w:pPr>
      <w:r>
        <w:rPr>
          <w:rFonts w:hint="eastAsia"/>
          <w:b/>
          <w:bCs/>
        </w:rPr>
        <w:t xml:space="preserve">多头驱动</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1"/>
        </w:numPr>
      </w:pPr>
      <w:r>
        <w:rPr>
          <w:rFonts w:hint="eastAsia"/>
          <w:b/>
          <w:bCs/>
        </w:rPr>
        <w:t xml:space="preserve">空头驱动</w:t>
      </w:r>
      <w:r>
        <w:t xml:space="preserve">: Apple revenue rolls off faster; memory costs hurt handset </w:t>
      </w:r>
      <w:r>
        <w:rPr>
          <w:rFonts w:hint="eastAsia"/>
        </w:rPr>
        <w:t xml:space="preserve">demand｜苹果收入加速流失；存储涨价压手机需求</w:t>
      </w:r>
    </w:p>
    <w:p>
      <w:pPr>
        <w:pStyle w:val="Compact"/>
        <w:numPr>
          <w:ilvl w:val="0"/>
          <w:numId w:val="1001"/>
        </w:numPr>
      </w:pPr>
      <w:r>
        <w:rPr>
          <w:rFonts w:hint="eastAsia"/>
          <w:b/>
          <w:bCs/>
        </w:rPr>
        <w:t xml:space="preserve">证伪条件</w:t>
      </w:r>
      <w:r>
        <w:rPr>
          <w:b/>
          <w:bCs/>
        </w:rPr>
        <w:t xml:space="preserve"> Falsifiers</w:t>
      </w:r>
      <w:r>
        <w:t xml:space="preserve">: Auto growth &lt;20%; no named DC customer revenue; QCT handset revenue </w:t>
      </w:r>
      <w:r>
        <w:rPr>
          <w:rFonts w:hint="eastAsia"/>
        </w:rPr>
        <w:t xml:space="preserve">declining｜汽车增速&lt;20%；数据中心无具名客户收入；手机芯片收入下滑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Mobile SoC / Edge AI / Auto </w:t>
      </w:r>
      <w:r>
        <w:rPr>
          <w:rFonts w:hint="eastAsia"/>
        </w:rPr>
        <w:t xml:space="preserve">手机芯片/边缘AI/汽车</w:t>
      </w:r>
    </w:p>
    <w:p>
      <w:pPr>
        <w:pStyle w:val="Compact"/>
        <w:numPr>
          <w:ilvl w:val="0"/>
          <w:numId w:val="1002"/>
        </w:numPr>
      </w:pPr>
      <w:r>
        <w:rPr>
          <w:rFonts w:hint="eastAsia"/>
        </w:rPr>
        <w:t xml:space="preserve">业务分部</w:t>
      </w:r>
      <w:r>
        <w:t xml:space="preserve"> Segments: Handsets </w:t>
      </w:r>
      <w:r>
        <w:rPr>
          <w:rFonts w:hint="eastAsia"/>
        </w:rPr>
        <w:t xml:space="preserve">手机；Automotive</w:t>
      </w:r>
      <w:r>
        <w:t xml:space="preserve"> </w:t>
      </w:r>
      <w:r>
        <w:rPr>
          <w:rFonts w:hint="eastAsia"/>
        </w:rPr>
        <w:t xml:space="preserve">汽车；IoT/PC；QTL</w:t>
      </w:r>
      <w:r>
        <w:t xml:space="preserve"> licensing </w:t>
      </w:r>
      <w:r>
        <w:rPr>
          <w:rFonts w:hint="eastAsia"/>
        </w:rPr>
        <w:t xml:space="preserve">授权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02"/>
        </w:numPr>
      </w:pPr>
      <w:r>
        <w:rPr>
          <w:rFonts w:hint="eastAsia"/>
        </w:rPr>
        <w:t xml:space="preserve">主要客户:</w:t>
      </w:r>
      <w:r>
        <w:t xml:space="preserve"> Samsung, Xiaomi/Chinese OEMs, Apple (modems—declining), automakers, PC </w:t>
      </w:r>
      <w:r>
        <w:rPr>
          <w:rFonts w:hint="eastAsia"/>
        </w:rPr>
        <w:t xml:space="preserve">OEMs｜三星、中国手机厂、苹果(基带递减)、车厂、PC厂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Samsung Foundry; </w:t>
      </w:r>
      <w:r>
        <w:rPr>
          <w:rFonts w:hint="eastAsia"/>
        </w:rPr>
        <w:t xml:space="preserve">memory｜台积电、三星代工；存储</w:t>
      </w:r>
    </w:p>
    <w:p>
      <w:pPr>
        <w:pStyle w:val="Compact"/>
        <w:numPr>
          <w:ilvl w:val="0"/>
          <w:numId w:val="1003"/>
        </w:numPr>
      </w:pPr>
      <w:r>
        <w:rPr>
          <w:rFonts w:hint="eastAsia"/>
        </w:rPr>
        <w:t xml:space="preserve">竞争者</w:t>
      </w:r>
      <w:r>
        <w:t xml:space="preserve"> </w:t>
      </w:r>
      <w:r>
        <w:rPr>
          <w:rFonts w:hint="eastAsia"/>
        </w:rPr>
        <w:t xml:space="preserve">(含业外):</w:t>
      </w:r>
      <w:r>
        <w:t xml:space="preserve">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03"/>
        </w:numPr>
      </w:pPr>
      <w:r>
        <w:rPr>
          <w:rFonts w:hint="eastAsia"/>
        </w:rPr>
        <w:t xml:space="preserve">瓶颈/监管:</w:t>
      </w:r>
      <w:r>
        <w:t xml:space="preserve"> Apple modem loss, Android share vs MediaTek, ARM licensing </w:t>
      </w:r>
      <w:r>
        <w:rPr>
          <w:rFonts w:hint="eastAsia"/>
        </w:rPr>
        <w:t xml:space="preserve">dispute｜苹果基带流失、安卓份额、与ARM授权纠纷</w:t>
      </w:r>
    </w:p>
    <w:p>
      <w:pPr>
        <w:pStyle w:val="Compact"/>
        <w:numPr>
          <w:ilvl w:val="0"/>
          <w:numId w:val="1003"/>
        </w:numPr>
      </w:pPr>
      <w:r>
        <w:rPr>
          <w:rFonts w:hint="eastAsia"/>
        </w:rPr>
        <w:t xml:space="preserve">关键KPI:</w:t>
      </w:r>
      <w:r>
        <w:t xml:space="preserve"> QCT handset/auto/IoT revenue, QTL, GM%, </w:t>
      </w:r>
      <w:r>
        <w:rPr>
          <w:rFonts w:hint="eastAsia"/>
        </w:rPr>
        <w:t xml:space="preserve">buybacks｜各业务收入、授权收入、毛利率、回购</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8.3 bn </w:t>
      </w:r>
      <w:r>
        <w:rPr>
          <w:rFonts w:hint="eastAsia"/>
        </w:rPr>
        <w:t xml:space="preserve">USD；总负债</w:t>
      </w:r>
      <w:r>
        <w:t xml:space="preserve"> 15.3 bn </w:t>
      </w:r>
      <w:r>
        <w:rPr>
          <w:rFonts w:hint="eastAsia"/>
        </w:rPr>
        <w:t xml:space="preserve">USD；净现金</w:t>
      </w:r>
      <w:r>
        <w:t xml:space="preserve"> -7.0 bn USD。TTM FCF 10.4 bn </w:t>
      </w:r>
      <w:r>
        <w:rPr>
          <w:rFonts w:hint="eastAsia"/>
        </w:rPr>
        <w:t xml:space="preserve">USD（FCF率</w:t>
      </w:r>
      <w:r>
        <w:t xml:space="preserve"> </w:t>
      </w:r>
      <w:r>
        <w:rPr>
          <w:rFonts w:hint="eastAsia"/>
        </w:rPr>
        <w:t xml:space="preserve">23.6%）。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2.15685（26位分析师）；收入一致预期</w:t>
      </w:r>
      <w:r>
        <w:t xml:space="preserve"> 10.1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$129.17</w:t>
            </w:r>
          </w:p>
        </w:tc>
        <w:tc>
          <w:tcPr/>
          <w:p>
            <w:pPr>
              <w:pStyle w:val="Compact"/>
            </w:pPr>
            <w:r>
              <w:t xml:space="preserve">-25.2%</w:t>
            </w:r>
          </w:p>
        </w:tc>
      </w:tr>
      <w:tr>
        <w:tc>
          <w:tcPr/>
          <w:p>
            <w:pPr>
              <w:pStyle w:val="Compact"/>
            </w:pPr>
            <w:r>
              <w:t xml:space="preserve">2Q</w:t>
            </w:r>
          </w:p>
        </w:tc>
        <w:tc>
          <w:tcPr/>
          <w:p>
            <w:pPr>
              <w:pStyle w:val="Compact"/>
            </w:pPr>
            <w:r>
              <w:t xml:space="preserve">Base</w:t>
            </w:r>
          </w:p>
        </w:tc>
        <w:tc>
          <w:tcPr/>
          <w:p>
            <w:pPr>
              <w:pStyle w:val="Compact"/>
            </w:pPr>
            <w:r>
              <w:t xml:space="preserve">$243.83</w:t>
            </w:r>
          </w:p>
        </w:tc>
        <w:tc>
          <w:tcPr/>
          <w:p>
            <w:pPr>
              <w:pStyle w:val="Compact"/>
            </w:pPr>
            <w:r>
              <w:t xml:space="preserve">41.3%</w:t>
            </w:r>
          </w:p>
        </w:tc>
      </w:tr>
      <w:tr>
        <w:tc>
          <w:tcPr/>
          <w:p>
            <w:pPr>
              <w:pStyle w:val="Compact"/>
            </w:pPr>
            <w:r>
              <w:t xml:space="preserve">2Q</w:t>
            </w:r>
          </w:p>
        </w:tc>
        <w:tc>
          <w:tcPr/>
          <w:p>
            <w:pPr>
              <w:pStyle w:val="Compact"/>
            </w:pPr>
            <w:r>
              <w:t xml:space="preserve">Bull</w:t>
            </w:r>
          </w:p>
        </w:tc>
        <w:tc>
          <w:tcPr/>
          <w:p>
            <w:pPr>
              <w:pStyle w:val="Compact"/>
            </w:pPr>
            <w:r>
              <w:t xml:space="preserve">$368.51</w:t>
            </w:r>
          </w:p>
        </w:tc>
        <w:tc>
          <w:tcPr/>
          <w:p>
            <w:pPr>
              <w:pStyle w:val="Compact"/>
            </w:pPr>
            <w:r>
              <w:t xml:space="preserve">113.5%</w:t>
            </w:r>
          </w:p>
        </w:tc>
      </w:tr>
      <w:tr>
        <w:tc>
          <w:tcPr/>
          <w:p>
            <w:pPr>
              <w:pStyle w:val="Compact"/>
            </w:pPr>
            <w:r>
              <w:t xml:space="preserve">4Q</w:t>
            </w:r>
          </w:p>
        </w:tc>
        <w:tc>
          <w:tcPr/>
          <w:p>
            <w:pPr>
              <w:pStyle w:val="Compact"/>
            </w:pPr>
            <w:r>
              <w:t xml:space="preserve">Bear</w:t>
            </w:r>
          </w:p>
        </w:tc>
        <w:tc>
          <w:tcPr/>
          <w:p>
            <w:pPr>
              <w:pStyle w:val="Compact"/>
            </w:pPr>
            <w:r>
              <w:t xml:space="preserve">$120.29</w:t>
            </w:r>
          </w:p>
        </w:tc>
        <w:tc>
          <w:tcPr/>
          <w:p>
            <w:pPr>
              <w:pStyle w:val="Compact"/>
            </w:pPr>
            <w:r>
              <w:t xml:space="preserve">-30.3%</w:t>
            </w:r>
          </w:p>
        </w:tc>
      </w:tr>
      <w:tr>
        <w:tc>
          <w:tcPr/>
          <w:p>
            <w:pPr>
              <w:pStyle w:val="Compact"/>
            </w:pPr>
            <w:r>
              <w:t xml:space="preserve">4Q</w:t>
            </w:r>
          </w:p>
        </w:tc>
        <w:tc>
          <w:tcPr/>
          <w:p>
            <w:pPr>
              <w:pStyle w:val="Compact"/>
            </w:pPr>
            <w:r>
              <w:t xml:space="preserve">Base</w:t>
            </w:r>
          </w:p>
        </w:tc>
        <w:tc>
          <w:tcPr/>
          <w:p>
            <w:pPr>
              <w:pStyle w:val="Compact"/>
            </w:pPr>
            <w:r>
              <w:t xml:space="preserve">$236.05</w:t>
            </w:r>
          </w:p>
        </w:tc>
        <w:tc>
          <w:tcPr/>
          <w:p>
            <w:pPr>
              <w:pStyle w:val="Compact"/>
            </w:pPr>
            <w:r>
              <w:t xml:space="preserve">36.7%</w:t>
            </w:r>
          </w:p>
        </w:tc>
      </w:tr>
      <w:tr>
        <w:tc>
          <w:tcPr/>
          <w:p>
            <w:pPr>
              <w:pStyle w:val="Compact"/>
            </w:pPr>
            <w:r>
              <w:t xml:space="preserve">4Q</w:t>
            </w:r>
          </w:p>
        </w:tc>
        <w:tc>
          <w:tcPr/>
          <w:p>
            <w:pPr>
              <w:pStyle w:val="Compact"/>
            </w:pPr>
            <w:r>
              <w:t xml:space="preserve">Bull</w:t>
            </w:r>
          </w:p>
        </w:tc>
        <w:tc>
          <w:tcPr/>
          <w:p>
            <w:pPr>
              <w:pStyle w:val="Compact"/>
            </w:pPr>
            <w:r>
              <w:t xml:space="preserve">$365.23</w:t>
            </w:r>
          </w:p>
        </w:tc>
        <w:tc>
          <w:tcPr/>
          <w:p>
            <w:pPr>
              <w:pStyle w:val="Compact"/>
            </w:pPr>
            <w:r>
              <w:t xml:space="preserve">111.6%</w:t>
            </w:r>
          </w:p>
        </w:tc>
      </w:tr>
      <w:tr>
        <w:tc>
          <w:tcPr/>
          <w:p>
            <w:pPr>
              <w:pStyle w:val="Compact"/>
            </w:pPr>
            <w:r>
              <w:t xml:space="preserve">6Q</w:t>
            </w:r>
          </w:p>
        </w:tc>
        <w:tc>
          <w:tcPr/>
          <w:p>
            <w:pPr>
              <w:pStyle w:val="Compact"/>
            </w:pPr>
            <w:r>
              <w:t xml:space="preserve">Bear</w:t>
            </w:r>
          </w:p>
        </w:tc>
        <w:tc>
          <w:tcPr/>
          <w:p>
            <w:pPr>
              <w:pStyle w:val="Compact"/>
            </w:pPr>
            <w:r>
              <w:t xml:space="preserve">$112.00</w:t>
            </w:r>
          </w:p>
        </w:tc>
        <w:tc>
          <w:tcPr/>
          <w:p>
            <w:pPr>
              <w:pStyle w:val="Compact"/>
            </w:pPr>
            <w:r>
              <w:t xml:space="preserve">-35.1%</w:t>
            </w:r>
          </w:p>
        </w:tc>
      </w:tr>
      <w:tr>
        <w:tc>
          <w:tcPr/>
          <w:p>
            <w:pPr>
              <w:pStyle w:val="Compact"/>
            </w:pPr>
            <w:r>
              <w:t xml:space="preserve">6Q</w:t>
            </w:r>
          </w:p>
        </w:tc>
        <w:tc>
          <w:tcPr/>
          <w:p>
            <w:pPr>
              <w:pStyle w:val="Compact"/>
            </w:pPr>
            <w:r>
              <w:t xml:space="preserve">Base</w:t>
            </w:r>
          </w:p>
        </w:tc>
        <w:tc>
          <w:tcPr/>
          <w:p>
            <w:pPr>
              <w:pStyle w:val="Compact"/>
            </w:pPr>
            <w:r>
              <w:t xml:space="preserve">$228.49</w:t>
            </w:r>
          </w:p>
        </w:tc>
        <w:tc>
          <w:tcPr/>
          <w:p>
            <w:pPr>
              <w:pStyle w:val="Compact"/>
            </w:pPr>
            <w:r>
              <w:t xml:space="preserve">32.4%</w:t>
            </w:r>
          </w:p>
        </w:tc>
      </w:tr>
      <w:tr>
        <w:tc>
          <w:tcPr/>
          <w:p>
            <w:pPr>
              <w:pStyle w:val="Compact"/>
            </w:pPr>
            <w:r>
              <w:t xml:space="preserve">6Q</w:t>
            </w:r>
          </w:p>
        </w:tc>
        <w:tc>
          <w:tcPr/>
          <w:p>
            <w:pPr>
              <w:pStyle w:val="Compact"/>
            </w:pPr>
            <w:r>
              <w:t xml:space="preserve">Bull</w:t>
            </w:r>
          </w:p>
        </w:tc>
        <w:tc>
          <w:tcPr/>
          <w:p>
            <w:pPr>
              <w:pStyle w:val="Compact"/>
            </w:pPr>
            <w:r>
              <w:t xml:space="preserve">$361.82</w:t>
            </w:r>
          </w:p>
        </w:tc>
        <w:tc>
          <w:tcPr/>
          <w:p>
            <w:pPr>
              <w:pStyle w:val="Compact"/>
            </w:pPr>
            <w:r>
              <w:t xml:space="preserve">109.6%</w:t>
            </w:r>
          </w:p>
        </w:tc>
      </w:tr>
      <w:tr>
        <w:tc>
          <w:tcPr/>
          <w:p>
            <w:pPr>
              <w:pStyle w:val="Compact"/>
            </w:pPr>
            <w:r>
              <w:t xml:space="preserve">8Q</w:t>
            </w:r>
          </w:p>
        </w:tc>
        <w:tc>
          <w:tcPr/>
          <w:p>
            <w:pPr>
              <w:pStyle w:val="Compact"/>
            </w:pPr>
            <w:r>
              <w:t xml:space="preserve">Bear</w:t>
            </w:r>
          </w:p>
        </w:tc>
        <w:tc>
          <w:tcPr/>
          <w:p>
            <w:pPr>
              <w:pStyle w:val="Compact"/>
            </w:pPr>
            <w:r>
              <w:t xml:space="preserve">$104.24</w:t>
            </w:r>
          </w:p>
        </w:tc>
        <w:tc>
          <w:tcPr/>
          <w:p>
            <w:pPr>
              <w:pStyle w:val="Compact"/>
            </w:pPr>
            <w:r>
              <w:t xml:space="preserve">-39.6%</w:t>
            </w:r>
          </w:p>
        </w:tc>
      </w:tr>
      <w:tr>
        <w:tc>
          <w:tcPr/>
          <w:p>
            <w:pPr>
              <w:pStyle w:val="Compact"/>
            </w:pPr>
            <w:r>
              <w:t xml:space="preserve">8Q</w:t>
            </w:r>
          </w:p>
        </w:tc>
        <w:tc>
          <w:tcPr/>
          <w:p>
            <w:pPr>
              <w:pStyle w:val="Compact"/>
            </w:pPr>
            <w:r>
              <w:t xml:space="preserve">Base</w:t>
            </w:r>
          </w:p>
        </w:tc>
        <w:tc>
          <w:tcPr/>
          <w:p>
            <w:pPr>
              <w:pStyle w:val="Compact"/>
            </w:pPr>
            <w:r>
              <w:t xml:space="preserve">$221.17</w:t>
            </w:r>
          </w:p>
        </w:tc>
        <w:tc>
          <w:tcPr/>
          <w:p>
            <w:pPr>
              <w:pStyle w:val="Compact"/>
            </w:pPr>
            <w:r>
              <w:t xml:space="preserve">28.1%</w:t>
            </w:r>
          </w:p>
        </w:tc>
      </w:tr>
      <w:tr>
        <w:tc>
          <w:tcPr/>
          <w:p>
            <w:pPr>
              <w:pStyle w:val="Compact"/>
            </w:pPr>
            <w:r>
              <w:t xml:space="preserve">8Q</w:t>
            </w:r>
          </w:p>
        </w:tc>
        <w:tc>
          <w:tcPr/>
          <w:p>
            <w:pPr>
              <w:pStyle w:val="Compact"/>
            </w:pPr>
            <w:r>
              <w:t xml:space="preserve">Bull</w:t>
            </w:r>
          </w:p>
        </w:tc>
        <w:tc>
          <w:tcPr/>
          <w:p>
            <w:pPr>
              <w:pStyle w:val="Compact"/>
            </w:pPr>
            <w:r>
              <w:t xml:space="preserve">$358.29</w:t>
            </w:r>
          </w:p>
        </w:tc>
        <w:tc>
          <w:tcPr/>
          <w:p>
            <w:pPr>
              <w:pStyle w:val="Compact"/>
            </w:pPr>
            <w:r>
              <w:t xml:space="preserve">107.6%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16.8x</w:t>
            </w:r>
          </w:p>
        </w:tc>
      </w:tr>
      <w:tr>
        <w:tc>
          <w:tcPr/>
          <w:p>
            <w:pPr>
              <w:pStyle w:val="Compact"/>
            </w:pPr>
            <w:r>
              <w:t xml:space="preserve">4Q</w:t>
            </w:r>
          </w:p>
        </w:tc>
        <w:tc>
          <w:tcPr/>
          <w:p>
            <w:pPr>
              <w:pStyle w:val="Compact"/>
            </w:pPr>
            <w:r>
              <w:t xml:space="preserve">16.4x</w:t>
            </w:r>
          </w:p>
        </w:tc>
      </w:tr>
      <w:tr>
        <w:tc>
          <w:tcPr/>
          <w:p>
            <w:pPr>
              <w:pStyle w:val="Compact"/>
            </w:pPr>
            <w:r>
              <w:t xml:space="preserve">6Q</w:t>
            </w:r>
          </w:p>
        </w:tc>
        <w:tc>
          <w:tcPr/>
          <w:p>
            <w:pPr>
              <w:pStyle w:val="Compact"/>
            </w:pPr>
            <w:r>
              <w:t xml:space="preserve">15.9x</w:t>
            </w:r>
          </w:p>
        </w:tc>
      </w:tr>
      <w:tr>
        <w:tc>
          <w:tcPr/>
          <w:p>
            <w:pPr>
              <w:pStyle w:val="Compact"/>
            </w:pPr>
            <w:r>
              <w:t xml:space="preserve">8Q</w:t>
            </w:r>
          </w:p>
        </w:tc>
        <w:tc>
          <w:tcPr/>
          <w:p>
            <w:pPr>
              <w:pStyle w:val="Compact"/>
            </w:pPr>
            <w:r>
              <w:t xml:space="preserve">15.4x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$67.81</w:t>
            </w:r>
          </w:p>
        </w:tc>
        <w:tc>
          <w:tcPr/>
          <w:p>
            <w:pPr>
              <w:pStyle w:val="Compact"/>
            </w:pPr>
            <w:r>
              <w:t xml:space="preserve">-60.7%</w:t>
            </w:r>
          </w:p>
        </w:tc>
      </w:tr>
      <w:tr>
        <w:tc>
          <w:tcPr/>
          <w:p>
            <w:pPr>
              <w:pStyle w:val="Compact"/>
            </w:pPr>
            <w:r>
              <w:t xml:space="preserve">Base</w:t>
            </w:r>
          </w:p>
        </w:tc>
        <w:tc>
          <w:tcPr/>
          <w:p>
            <w:pPr>
              <w:pStyle w:val="Compact"/>
            </w:pPr>
            <w:r>
              <w:t xml:space="preserve">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$103.84</w:t>
            </w:r>
          </w:p>
        </w:tc>
        <w:tc>
          <w:tcPr/>
          <w:p>
            <w:pPr>
              <w:pStyle w:val="Compact"/>
            </w:pPr>
            <w:r>
              <w:t xml:space="preserve">-39.8%</w:t>
            </w:r>
          </w:p>
        </w:tc>
      </w:tr>
      <w:tr>
        <w:tc>
          <w:tcPr/>
          <w:p>
            <w:pPr>
              <w:pStyle w:val="Compact"/>
            </w:pPr>
            <w:r>
              <w:t xml:space="preserve">Bull</w:t>
            </w:r>
          </w:p>
        </w:tc>
        <w:tc>
          <w:tcPr/>
          <w:p>
            <w:pPr>
              <w:pStyle w:val="Compact"/>
            </w:pPr>
            <w:r>
              <w:t xml:space="preserve">6.2%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$137.73</w:t>
            </w:r>
          </w:p>
        </w:tc>
        <w:tc>
          <w:tcPr/>
          <w:p>
            <w:pPr>
              <w:pStyle w:val="Compact"/>
            </w:pPr>
            <w:r>
              <w:t xml:space="preserve">-20.2%</w:t>
            </w:r>
          </w:p>
        </w:tc>
      </w:tr>
    </w:tbl>
    <w:p>
      <w:pPr>
        <w:pStyle w:val="BodyText"/>
      </w:pPr>
      <w:r>
        <w:rPr>
          <w:rFonts w:hint="eastAsia"/>
        </w:rPr>
        <w:t xml:space="preserve">概率加权价值</w:t>
      </w:r>
      <w:r>
        <w:t xml:space="preserve"> </w:t>
      </w:r>
      <w:r>
        <w:rPr>
          <w:b/>
          <w:bCs/>
        </w:rPr>
        <w:t xml:space="preserve">$103.30</w:t>
      </w:r>
      <w:r>
        <w:rPr>
          <w:rFonts w:hint="eastAsia"/>
        </w:rPr>
        <w:t xml:space="preserve">（相对现价</w:t>
      </w:r>
      <w:r>
        <w:t xml:space="preserve"> </w:t>
      </w:r>
      <w:r>
        <w:rPr>
          <w:rFonts w:hint="eastAsia"/>
        </w:rPr>
        <w:t xml:space="preserve">-40.2%）。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117.8 bn </w:t>
      </w:r>
      <w:r>
        <w:rPr>
          <w:rFonts w:hint="eastAsia"/>
        </w:rPr>
        <w:t xml:space="preserve">USD；终值占比</w:t>
      </w:r>
      <w:r>
        <w:t xml:space="preserve"> 39.9%。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17.6%</w:t>
      </w:r>
      <w:r>
        <w:rPr>
          <w:rFonts w:hint="eastAsia"/>
        </w:rPr>
        <w:t xml:space="preserve">；一致预期FY+1增速</w:t>
      </w:r>
      <w:r>
        <w:t xml:space="preserve"> 4.8%。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QCOM | 184.3 bn USD | 4.3x | 16.9x | -4.0% | 54.2% | 5.7% |</w:t>
      </w:r>
      <w:r>
        <w:t xml:space="preserve"> </w:t>
      </w:r>
      <w:r>
        <w:t xml:space="preserve">| 2454.TW | 7,147.3 bn USD | 11.8x | 30.3x | 1.2% | 46.3% | 0.8% |</w:t>
      </w:r>
      <w:r>
        <w:t xml:space="preserve"> </w:t>
      </w:r>
      <w:r>
        <w:t xml:space="preserve">| ARM | 254.2 bn USD | 48.6x | 77.7x | 22.4% | 97.5% | 0.5% |</w:t>
      </w:r>
      <w:r>
        <w:t xml:space="preserve"> </w:t>
      </w:r>
      <w:r>
        <w:t xml:space="preserve">| AAPL | 5,005.2 bn USD | 10.8x | 35.8x | 16.4% | 48.7% | 2.2% |</w:t>
      </w:r>
      <w:r>
        <w:t xml:space="preserve"> </w:t>
      </w:r>
      <w:r>
        <w:t xml:space="preserve">| AVGO | 1,652.9 bn USD | 18.9x | 17.9x | 85.5% | 75.5% | 1.9%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Apple revenue rolls off faster; memory costs hurt handset </w:t>
      </w:r>
      <w:r>
        <w:rPr>
          <w:rFonts w:hint="eastAsia"/>
        </w:rPr>
        <w:t xml:space="preserve">demand｜苹果收入加速流失；存储涨价压手机需求</w:t>
      </w:r>
    </w:p>
    <w:p>
      <w:pPr>
        <w:pStyle w:val="Compact"/>
        <w:numPr>
          <w:ilvl w:val="0"/>
          <w:numId w:val="1006"/>
        </w:numPr>
      </w:pPr>
      <w:r>
        <w:rPr>
          <w:rFonts w:hint="eastAsia"/>
        </w:rPr>
        <w:t xml:space="preserve">证伪指标:</w:t>
      </w:r>
      <w:r>
        <w:t xml:space="preserve"> Auto growth &lt;20%; no named DC customer revenue; QCT handset revenue </w:t>
      </w:r>
      <w:r>
        <w:rPr>
          <w:rFonts w:hint="eastAsia"/>
        </w:rPr>
        <w:t xml:space="preserve">declining｜汽车增速&lt;20%；数据中心无具名客户收入；手机芯片收入下滑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172.6</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1.843e+11</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8.304e+09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1.527e+10</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4.407e+10</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1.042e+10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1.651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-0.0287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0.0475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0.0475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0.2364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QCOM_model_v20261015-0757.xlsx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QCO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QCO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QCO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QCO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QCO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5c380d7a09551643ac91d1f8844079c2b143cff"/>
    <w:p>
      <w:pPr>
        <w:pStyle w:val="Heading1"/>
      </w:pPr>
      <w:r>
        <w:t xml:space="preserve">QCOM QUALCOMM Incorporated — Equity Deep Dive (Professional English) v20261015-0757</w:t>
      </w:r>
    </w:p>
    <w:p>
      <w:pPr>
        <w:pStyle w:val="BlockText"/>
      </w:pPr>
      <w:r>
        <w:t xml:space="preserve">Data as of 2026-10-15 07:57 SGT | Price $172.62 | Mkt cap 184.3 bn USD | Reporting currency USD | Not investment advice.</w:t>
      </w:r>
    </w:p>
    <w:bookmarkStart w:id="39" w:name="investment-thesis-hypothesis"/>
    <w:p>
      <w:pPr>
        <w:pStyle w:val="Heading2"/>
      </w:pPr>
      <w:r>
        <w:t xml:space="preserve">1. Investment thesis (HYPOTHESIS)</w:t>
      </w:r>
    </w:p>
    <w:p>
      <w:pPr>
        <w:pStyle w:val="FirstParagraph"/>
      </w:pPr>
      <w:r>
        <w:t xml:space="preserve">QCOM’s low multiple reflects a mature handset market and the Apple modem loss; diversification (auto, PC, AI200 data-center inference) is the rerating key but needs evidence.</w:t>
      </w:r>
    </w:p>
    <w:p>
      <w:pPr>
        <w:pStyle w:val="Compact"/>
        <w:numPr>
          <w:ilvl w:val="0"/>
          <w:numId w:val="1009"/>
        </w:numPr>
      </w:pPr>
      <w:r>
        <w:rPr>
          <w:b/>
          <w:bCs/>
        </w:rPr>
        <w:t xml:space="preserve">Bull drivers</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9"/>
        </w:numPr>
      </w:pPr>
      <w:r>
        <w:rPr>
          <w:b/>
          <w:bCs/>
        </w:rPr>
        <w:t xml:space="preserve">Bear drivers</w:t>
      </w:r>
      <w:r>
        <w:t xml:space="preserve">: Apple revenue rolls off faster; memory costs hurt handset </w:t>
      </w:r>
      <w:r>
        <w:rPr>
          <w:rFonts w:hint="eastAsia"/>
        </w:rPr>
        <w:t xml:space="preserve">demand｜苹果收入加速流失；存储涨价压手机需求</w:t>
      </w:r>
    </w:p>
    <w:p>
      <w:pPr>
        <w:pStyle w:val="Compact"/>
        <w:numPr>
          <w:ilvl w:val="0"/>
          <w:numId w:val="1009"/>
        </w:numPr>
      </w:pPr>
      <w:r>
        <w:rPr>
          <w:b/>
          <w:bCs/>
        </w:rPr>
        <w:t xml:space="preserve">Falsifiers</w:t>
      </w:r>
      <w:r>
        <w:t xml:space="preserve">: Auto growth &lt;20%; no named DC customer revenue; QCT handset revenue </w:t>
      </w:r>
      <w:r>
        <w:rPr>
          <w:rFonts w:hint="eastAsia"/>
        </w:rPr>
        <w:t xml:space="preserve">declining｜汽车增速&lt;20%；数据中心无具名客户收入；手机芯片收入下滑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Mobile SoC / Edge AI / Auto </w:t>
      </w:r>
      <w:r>
        <w:rPr>
          <w:rFonts w:hint="eastAsia"/>
        </w:rPr>
        <w:t xml:space="preserve">手机芯片/边缘AI/汽车</w:t>
      </w:r>
      <w:r>
        <w:t xml:space="preserve"> |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p>
    <w:p>
      <w:pPr>
        <w:pStyle w:val="Compact"/>
        <w:numPr>
          <w:ilvl w:val="0"/>
          <w:numId w:val="1010"/>
        </w:numPr>
      </w:pPr>
      <w:r>
        <w:t xml:space="preserve">Business description (DATA):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10"/>
        </w:numPr>
      </w:pPr>
      <w:r>
        <w:t xml:space="preserve">Customers: Samsung, Xiaomi/Chinese OEMs, Apple (modems—declining), automakers, PC </w:t>
      </w:r>
      <w:r>
        <w:rPr>
          <w:rFonts w:hint="eastAsia"/>
        </w:rPr>
        <w:t xml:space="preserve">OEMs｜三星、中国手机厂、苹果(基带递减)、车厂、PC厂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Samsung Foundry; </w:t>
      </w:r>
      <w:r>
        <w:rPr>
          <w:rFonts w:hint="eastAsia"/>
        </w:rPr>
        <w:t xml:space="preserve">memory｜台积电、三星代工；存储</w:t>
      </w:r>
    </w:p>
    <w:p>
      <w:pPr>
        <w:pStyle w:val="Compact"/>
        <w:numPr>
          <w:ilvl w:val="0"/>
          <w:numId w:val="1011"/>
        </w:numPr>
      </w:pPr>
      <w:r>
        <w:t xml:space="preserve">Competitors: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11"/>
        </w:numPr>
      </w:pPr>
      <w:r>
        <w:t xml:space="preserve">Bottlenecks/regulation: Apple modem loss, Android share vs MediaTek, ARM licensing </w:t>
      </w:r>
      <w:r>
        <w:rPr>
          <w:rFonts w:hint="eastAsia"/>
        </w:rPr>
        <w:t xml:space="preserve">dispute｜苹果基带流失、安卓份额、与ARM授权纠纷</w:t>
      </w:r>
    </w:p>
    <w:p>
      <w:pPr>
        <w:pStyle w:val="Compact"/>
        <w:numPr>
          <w:ilvl w:val="0"/>
          <w:numId w:val="1011"/>
        </w:numPr>
      </w:pPr>
      <w:r>
        <w:t xml:space="preserve">KPIs: QCT handset/auto/IoT revenue, QTL, GM%, </w:t>
      </w:r>
      <w:r>
        <w:rPr>
          <w:rFonts w:hint="eastAsia"/>
        </w:rPr>
        <w:t xml:space="preserve">buybacks｜各业务收入、授权收入、毛利率、回购</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8.3 bn USD; debt 15.3 bn USD; TTM FCF 10.4 bn USD (FCF margin 23.6%).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2.15685 (26 analysts); revenue consensus 10.1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$129.17</w:t>
            </w:r>
          </w:p>
        </w:tc>
        <w:tc>
          <w:tcPr/>
          <w:p>
            <w:pPr>
              <w:pStyle w:val="Compact"/>
            </w:pPr>
            <w:r>
              <w:t xml:space="preserve">-25.2%</w:t>
            </w:r>
          </w:p>
        </w:tc>
      </w:tr>
      <w:tr>
        <w:tc>
          <w:tcPr/>
          <w:p>
            <w:pPr>
              <w:pStyle w:val="Compact"/>
            </w:pPr>
            <w:r>
              <w:t xml:space="preserve">2Q</w:t>
            </w:r>
          </w:p>
        </w:tc>
        <w:tc>
          <w:tcPr/>
          <w:p>
            <w:pPr>
              <w:pStyle w:val="Compact"/>
            </w:pPr>
            <w:r>
              <w:t xml:space="preserve">Base</w:t>
            </w:r>
          </w:p>
        </w:tc>
        <w:tc>
          <w:tcPr/>
          <w:p>
            <w:pPr>
              <w:pStyle w:val="Compact"/>
            </w:pPr>
            <w:r>
              <w:t xml:space="preserve">$243.83</w:t>
            </w:r>
          </w:p>
        </w:tc>
        <w:tc>
          <w:tcPr/>
          <w:p>
            <w:pPr>
              <w:pStyle w:val="Compact"/>
            </w:pPr>
            <w:r>
              <w:t xml:space="preserve">41.3%</w:t>
            </w:r>
          </w:p>
        </w:tc>
      </w:tr>
      <w:tr>
        <w:tc>
          <w:tcPr/>
          <w:p>
            <w:pPr>
              <w:pStyle w:val="Compact"/>
            </w:pPr>
            <w:r>
              <w:t xml:space="preserve">2Q</w:t>
            </w:r>
          </w:p>
        </w:tc>
        <w:tc>
          <w:tcPr/>
          <w:p>
            <w:pPr>
              <w:pStyle w:val="Compact"/>
            </w:pPr>
            <w:r>
              <w:t xml:space="preserve">Bull</w:t>
            </w:r>
          </w:p>
        </w:tc>
        <w:tc>
          <w:tcPr/>
          <w:p>
            <w:pPr>
              <w:pStyle w:val="Compact"/>
            </w:pPr>
            <w:r>
              <w:t xml:space="preserve">$368.51</w:t>
            </w:r>
          </w:p>
        </w:tc>
        <w:tc>
          <w:tcPr/>
          <w:p>
            <w:pPr>
              <w:pStyle w:val="Compact"/>
            </w:pPr>
            <w:r>
              <w:t xml:space="preserve">113.5%</w:t>
            </w:r>
          </w:p>
        </w:tc>
      </w:tr>
      <w:tr>
        <w:tc>
          <w:tcPr/>
          <w:p>
            <w:pPr>
              <w:pStyle w:val="Compact"/>
            </w:pPr>
            <w:r>
              <w:t xml:space="preserve">4Q</w:t>
            </w:r>
          </w:p>
        </w:tc>
        <w:tc>
          <w:tcPr/>
          <w:p>
            <w:pPr>
              <w:pStyle w:val="Compact"/>
            </w:pPr>
            <w:r>
              <w:t xml:space="preserve">Bear</w:t>
            </w:r>
          </w:p>
        </w:tc>
        <w:tc>
          <w:tcPr/>
          <w:p>
            <w:pPr>
              <w:pStyle w:val="Compact"/>
            </w:pPr>
            <w:r>
              <w:t xml:space="preserve">$120.29</w:t>
            </w:r>
          </w:p>
        </w:tc>
        <w:tc>
          <w:tcPr/>
          <w:p>
            <w:pPr>
              <w:pStyle w:val="Compact"/>
            </w:pPr>
            <w:r>
              <w:t xml:space="preserve">-30.3%</w:t>
            </w:r>
          </w:p>
        </w:tc>
      </w:tr>
      <w:tr>
        <w:tc>
          <w:tcPr/>
          <w:p>
            <w:pPr>
              <w:pStyle w:val="Compact"/>
            </w:pPr>
            <w:r>
              <w:t xml:space="preserve">4Q</w:t>
            </w:r>
          </w:p>
        </w:tc>
        <w:tc>
          <w:tcPr/>
          <w:p>
            <w:pPr>
              <w:pStyle w:val="Compact"/>
            </w:pPr>
            <w:r>
              <w:t xml:space="preserve">Base</w:t>
            </w:r>
          </w:p>
        </w:tc>
        <w:tc>
          <w:tcPr/>
          <w:p>
            <w:pPr>
              <w:pStyle w:val="Compact"/>
            </w:pPr>
            <w:r>
              <w:t xml:space="preserve">$236.05</w:t>
            </w:r>
          </w:p>
        </w:tc>
        <w:tc>
          <w:tcPr/>
          <w:p>
            <w:pPr>
              <w:pStyle w:val="Compact"/>
            </w:pPr>
            <w:r>
              <w:t xml:space="preserve">36.7%</w:t>
            </w:r>
          </w:p>
        </w:tc>
      </w:tr>
      <w:tr>
        <w:tc>
          <w:tcPr/>
          <w:p>
            <w:pPr>
              <w:pStyle w:val="Compact"/>
            </w:pPr>
            <w:r>
              <w:t xml:space="preserve">4Q</w:t>
            </w:r>
          </w:p>
        </w:tc>
        <w:tc>
          <w:tcPr/>
          <w:p>
            <w:pPr>
              <w:pStyle w:val="Compact"/>
            </w:pPr>
            <w:r>
              <w:t xml:space="preserve">Bull</w:t>
            </w:r>
          </w:p>
        </w:tc>
        <w:tc>
          <w:tcPr/>
          <w:p>
            <w:pPr>
              <w:pStyle w:val="Compact"/>
            </w:pPr>
            <w:r>
              <w:t xml:space="preserve">$365.23</w:t>
            </w:r>
          </w:p>
        </w:tc>
        <w:tc>
          <w:tcPr/>
          <w:p>
            <w:pPr>
              <w:pStyle w:val="Compact"/>
            </w:pPr>
            <w:r>
              <w:t xml:space="preserve">111.6%</w:t>
            </w:r>
          </w:p>
        </w:tc>
      </w:tr>
      <w:tr>
        <w:tc>
          <w:tcPr/>
          <w:p>
            <w:pPr>
              <w:pStyle w:val="Compact"/>
            </w:pPr>
            <w:r>
              <w:t xml:space="preserve">6Q</w:t>
            </w:r>
          </w:p>
        </w:tc>
        <w:tc>
          <w:tcPr/>
          <w:p>
            <w:pPr>
              <w:pStyle w:val="Compact"/>
            </w:pPr>
            <w:r>
              <w:t xml:space="preserve">Bear</w:t>
            </w:r>
          </w:p>
        </w:tc>
        <w:tc>
          <w:tcPr/>
          <w:p>
            <w:pPr>
              <w:pStyle w:val="Compact"/>
            </w:pPr>
            <w:r>
              <w:t xml:space="preserve">$112.00</w:t>
            </w:r>
          </w:p>
        </w:tc>
        <w:tc>
          <w:tcPr/>
          <w:p>
            <w:pPr>
              <w:pStyle w:val="Compact"/>
            </w:pPr>
            <w:r>
              <w:t xml:space="preserve">-35.1%</w:t>
            </w:r>
          </w:p>
        </w:tc>
      </w:tr>
      <w:tr>
        <w:tc>
          <w:tcPr/>
          <w:p>
            <w:pPr>
              <w:pStyle w:val="Compact"/>
            </w:pPr>
            <w:r>
              <w:t xml:space="preserve">6Q</w:t>
            </w:r>
          </w:p>
        </w:tc>
        <w:tc>
          <w:tcPr/>
          <w:p>
            <w:pPr>
              <w:pStyle w:val="Compact"/>
            </w:pPr>
            <w:r>
              <w:t xml:space="preserve">Base</w:t>
            </w:r>
          </w:p>
        </w:tc>
        <w:tc>
          <w:tcPr/>
          <w:p>
            <w:pPr>
              <w:pStyle w:val="Compact"/>
            </w:pPr>
            <w:r>
              <w:t xml:space="preserve">$228.49</w:t>
            </w:r>
          </w:p>
        </w:tc>
        <w:tc>
          <w:tcPr/>
          <w:p>
            <w:pPr>
              <w:pStyle w:val="Compact"/>
            </w:pPr>
            <w:r>
              <w:t xml:space="preserve">32.4%</w:t>
            </w:r>
          </w:p>
        </w:tc>
      </w:tr>
      <w:tr>
        <w:tc>
          <w:tcPr/>
          <w:p>
            <w:pPr>
              <w:pStyle w:val="Compact"/>
            </w:pPr>
            <w:r>
              <w:t xml:space="preserve">6Q</w:t>
            </w:r>
          </w:p>
        </w:tc>
        <w:tc>
          <w:tcPr/>
          <w:p>
            <w:pPr>
              <w:pStyle w:val="Compact"/>
            </w:pPr>
            <w:r>
              <w:t xml:space="preserve">Bull</w:t>
            </w:r>
          </w:p>
        </w:tc>
        <w:tc>
          <w:tcPr/>
          <w:p>
            <w:pPr>
              <w:pStyle w:val="Compact"/>
            </w:pPr>
            <w:r>
              <w:t xml:space="preserve">$361.82</w:t>
            </w:r>
          </w:p>
        </w:tc>
        <w:tc>
          <w:tcPr/>
          <w:p>
            <w:pPr>
              <w:pStyle w:val="Compact"/>
            </w:pPr>
            <w:r>
              <w:t xml:space="preserve">109.6%</w:t>
            </w:r>
          </w:p>
        </w:tc>
      </w:tr>
      <w:tr>
        <w:tc>
          <w:tcPr/>
          <w:p>
            <w:pPr>
              <w:pStyle w:val="Compact"/>
            </w:pPr>
            <w:r>
              <w:t xml:space="preserve">8Q</w:t>
            </w:r>
          </w:p>
        </w:tc>
        <w:tc>
          <w:tcPr/>
          <w:p>
            <w:pPr>
              <w:pStyle w:val="Compact"/>
            </w:pPr>
            <w:r>
              <w:t xml:space="preserve">Bear</w:t>
            </w:r>
          </w:p>
        </w:tc>
        <w:tc>
          <w:tcPr/>
          <w:p>
            <w:pPr>
              <w:pStyle w:val="Compact"/>
            </w:pPr>
            <w:r>
              <w:t xml:space="preserve">$104.24</w:t>
            </w:r>
          </w:p>
        </w:tc>
        <w:tc>
          <w:tcPr/>
          <w:p>
            <w:pPr>
              <w:pStyle w:val="Compact"/>
            </w:pPr>
            <w:r>
              <w:t xml:space="preserve">-39.6%</w:t>
            </w:r>
          </w:p>
        </w:tc>
      </w:tr>
      <w:tr>
        <w:tc>
          <w:tcPr/>
          <w:p>
            <w:pPr>
              <w:pStyle w:val="Compact"/>
            </w:pPr>
            <w:r>
              <w:t xml:space="preserve">8Q</w:t>
            </w:r>
          </w:p>
        </w:tc>
        <w:tc>
          <w:tcPr/>
          <w:p>
            <w:pPr>
              <w:pStyle w:val="Compact"/>
            </w:pPr>
            <w:r>
              <w:t xml:space="preserve">Base</w:t>
            </w:r>
          </w:p>
        </w:tc>
        <w:tc>
          <w:tcPr/>
          <w:p>
            <w:pPr>
              <w:pStyle w:val="Compact"/>
            </w:pPr>
            <w:r>
              <w:t xml:space="preserve">$221.17</w:t>
            </w:r>
          </w:p>
        </w:tc>
        <w:tc>
          <w:tcPr/>
          <w:p>
            <w:pPr>
              <w:pStyle w:val="Compact"/>
            </w:pPr>
            <w:r>
              <w:t xml:space="preserve">28.1%</w:t>
            </w:r>
          </w:p>
        </w:tc>
      </w:tr>
      <w:tr>
        <w:tc>
          <w:tcPr/>
          <w:p>
            <w:pPr>
              <w:pStyle w:val="Compact"/>
            </w:pPr>
            <w:r>
              <w:t xml:space="preserve">8Q</w:t>
            </w:r>
          </w:p>
        </w:tc>
        <w:tc>
          <w:tcPr/>
          <w:p>
            <w:pPr>
              <w:pStyle w:val="Compact"/>
            </w:pPr>
            <w:r>
              <w:t xml:space="preserve">Bull</w:t>
            </w:r>
          </w:p>
        </w:tc>
        <w:tc>
          <w:tcPr/>
          <w:p>
            <w:pPr>
              <w:pStyle w:val="Compact"/>
            </w:pPr>
            <w:r>
              <w:t xml:space="preserve">$358.29</w:t>
            </w:r>
          </w:p>
        </w:tc>
        <w:tc>
          <w:tcPr/>
          <w:p>
            <w:pPr>
              <w:pStyle w:val="Compact"/>
            </w:pPr>
            <w:r>
              <w:t xml:space="preserve">107.6%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16.8x</w:t>
            </w:r>
          </w:p>
        </w:tc>
      </w:tr>
      <w:tr>
        <w:tc>
          <w:tcPr/>
          <w:p>
            <w:pPr>
              <w:pStyle w:val="Compact"/>
            </w:pPr>
            <w:r>
              <w:t xml:space="preserve">4Q</w:t>
            </w:r>
          </w:p>
        </w:tc>
        <w:tc>
          <w:tcPr/>
          <w:p>
            <w:pPr>
              <w:pStyle w:val="Compact"/>
            </w:pPr>
            <w:r>
              <w:t xml:space="preserve">16.4x</w:t>
            </w:r>
          </w:p>
        </w:tc>
      </w:tr>
      <w:tr>
        <w:tc>
          <w:tcPr/>
          <w:p>
            <w:pPr>
              <w:pStyle w:val="Compact"/>
            </w:pPr>
            <w:r>
              <w:t xml:space="preserve">6Q</w:t>
            </w:r>
          </w:p>
        </w:tc>
        <w:tc>
          <w:tcPr/>
          <w:p>
            <w:pPr>
              <w:pStyle w:val="Compact"/>
            </w:pPr>
            <w:r>
              <w:t xml:space="preserve">15.9x</w:t>
            </w:r>
          </w:p>
        </w:tc>
      </w:tr>
      <w:tr>
        <w:tc>
          <w:tcPr/>
          <w:p>
            <w:pPr>
              <w:pStyle w:val="Compact"/>
            </w:pPr>
            <w:r>
              <w:t xml:space="preserve">8Q</w:t>
            </w:r>
          </w:p>
        </w:tc>
        <w:tc>
          <w:tcPr/>
          <w:p>
            <w:pPr>
              <w:pStyle w:val="Compact"/>
            </w:pPr>
            <w:r>
              <w:t xml:space="preserve">15.4x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$67.81</w:t>
            </w:r>
          </w:p>
        </w:tc>
        <w:tc>
          <w:tcPr/>
          <w:p>
            <w:pPr>
              <w:pStyle w:val="Compact"/>
            </w:pPr>
            <w:r>
              <w:t xml:space="preserve">-60.7%</w:t>
            </w:r>
          </w:p>
        </w:tc>
      </w:tr>
      <w:tr>
        <w:tc>
          <w:tcPr/>
          <w:p>
            <w:pPr>
              <w:pStyle w:val="Compact"/>
            </w:pPr>
            <w:r>
              <w:t xml:space="preserve">Base</w:t>
            </w:r>
          </w:p>
        </w:tc>
        <w:tc>
          <w:tcPr/>
          <w:p>
            <w:pPr>
              <w:pStyle w:val="Compact"/>
            </w:pPr>
            <w:r>
              <w:t xml:space="preserve">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$103.84</w:t>
            </w:r>
          </w:p>
        </w:tc>
        <w:tc>
          <w:tcPr/>
          <w:p>
            <w:pPr>
              <w:pStyle w:val="Compact"/>
            </w:pPr>
            <w:r>
              <w:t xml:space="preserve">-39.8%</w:t>
            </w:r>
          </w:p>
        </w:tc>
      </w:tr>
      <w:tr>
        <w:tc>
          <w:tcPr/>
          <w:p>
            <w:pPr>
              <w:pStyle w:val="Compact"/>
            </w:pPr>
            <w:r>
              <w:t xml:space="preserve">Bull</w:t>
            </w:r>
          </w:p>
        </w:tc>
        <w:tc>
          <w:tcPr/>
          <w:p>
            <w:pPr>
              <w:pStyle w:val="Compact"/>
            </w:pPr>
            <w:r>
              <w:t xml:space="preserve">6.2%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$137.73</w:t>
            </w:r>
          </w:p>
        </w:tc>
        <w:tc>
          <w:tcPr/>
          <w:p>
            <w:pPr>
              <w:pStyle w:val="Compact"/>
            </w:pPr>
            <w:r>
              <w:t xml:space="preserve">-20.2%</w:t>
            </w:r>
          </w:p>
        </w:tc>
      </w:tr>
    </w:tbl>
    <w:p>
      <w:pPr>
        <w:pStyle w:val="BodyText"/>
      </w:pPr>
      <w:r>
        <w:t xml:space="preserve">Probability-weighted value</w:t>
      </w:r>
      <w:r>
        <w:t xml:space="preserve"> </w:t>
      </w:r>
      <w:r>
        <w:rPr>
          <w:b/>
          <w:bCs/>
        </w:rPr>
        <w:t xml:space="preserve">$103.30</w:t>
      </w:r>
      <w:r>
        <w:t xml:space="preserve"> </w:t>
      </w:r>
      <w:r>
        <w:t xml:space="preserve">(-40.2%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117.8 bn USD; terminal share 39.9%.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17.6%</w:t>
      </w:r>
      <w:r>
        <w:t xml:space="preserve"> </w:t>
      </w:r>
      <w:r>
        <w:t xml:space="preserve">vs consensus FY+1 4.8%.</w:t>
      </w:r>
    </w:p>
    <w:p>
      <w:pPr>
        <w:pStyle w:val="Compact"/>
        <w:numPr>
          <w:ilvl w:val="0"/>
          <w:numId w:val="1013"/>
        </w:numPr>
      </w:pPr>
      <w:r>
        <w:t xml:space="preserve">WACC (CAPM) = rf 5.2% + β 1.60 × ERP 5.0% = 13.2%.</w:t>
      </w:r>
    </w:p>
    <w:p>
      <w:pPr>
        <w:pStyle w:val="Compact"/>
        <w:numPr>
          <w:ilvl w:val="0"/>
          <w:numId w:val="1013"/>
        </w:numPr>
      </w:pPr>
      <w:r>
        <w:t xml:space="preserve">SOTP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Apple revenue rolls off faster; memory costs hurt handset </w:t>
      </w:r>
      <w:r>
        <w:rPr>
          <w:rFonts w:hint="eastAsia"/>
        </w:rPr>
        <w:t xml:space="preserve">demand｜苹果收入加速流失；存储涨价压手机需求</w:t>
      </w:r>
      <w:r>
        <w:t xml:space="preserve"> | Falsifiers: Auto growth &lt;20%; no named DC customer revenue; QCT handset revenue </w:t>
      </w:r>
      <w:r>
        <w:rPr>
          <w:rFonts w:hint="eastAsia"/>
        </w:rPr>
        <w:t xml:space="preserve">declining｜汽车增速&lt;20%；数据中心无具名客户收入；手机芯片收入下滑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QCOM_model_v20261015-0757.xlsx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2026-10-14T23:58:56Z</dcterms:created>
  <dcterms:modified xsi:type="dcterms:W3CDTF">2026-10-14T23:58:56Z</dcterms:modified>
</cp:coreProperties>
</file>

<file path=docProps/custom.xml><?xml version="1.0" encoding="utf-8"?>
<Properties xmlns="http://schemas.openxmlformats.org/officeDocument/2006/custom-properties" xmlns:vt="http://schemas.openxmlformats.org/officeDocument/2006/docPropsVTypes"/>
</file>