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5-0757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$152.16。我们的Base模型认为每股价值约</w:t>
      </w:r>
      <w:r>
        <w:t xml:space="preserve"> </w:t>
      </w:r>
      <w:r>
        <w:rPr>
          <w:rFonts w:hint="eastAsia"/>
        </w:rPr>
        <w:t xml:space="preserve">$132（-13.6%）。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1,673.4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$132 / Bull </w:t>
      </w:r>
      <w:r>
        <w:rPr>
          <w:rFonts w:hint="eastAsia"/>
        </w:rPr>
        <w:t xml:space="preserve">$396；概率加权</w:t>
      </w:r>
      <w:r>
        <w:t xml:space="preserve"> $170。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0a5dfcaec5a5a5e4b9a3b6abace910ed981a6b"/>
    <w:p>
      <w:pPr>
        <w:pStyle w:val="Heading1"/>
      </w:pPr>
      <w:r>
        <w:t xml:space="preserve">SPCX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$152.16; our Base model value ≈ $132 (-13.6%).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11.7%.</w:t>
      </w:r>
      <w:r>
        <w:t xml:space="preserve"> </w:t>
      </w:r>
      <w:r>
        <w:t xml:space="preserve">R₁ = R₀×(1+g₁) = 46.1 bn USD; FCF₁ = -16.1 bn USD; PV = FCF₁/(1+W) = -14.4 bn USD; 10 years + terminal → EV 1,673.4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$132 / Bull $396; weighted $170.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2026-10-14T23:58:20Z</dcterms:created>
  <dcterms:modified xsi:type="dcterms:W3CDTF">2026-10-14T23:58:20Z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