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a94062ff0be1fea428e10ee9b21b80d7b4c1f12"/>
    <w:p>
      <w:pPr>
        <w:pStyle w:val="Heading1"/>
      </w:pPr>
      <w:r>
        <w:t xml:space="preserve">ARM Arm Holdings plc 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Arm Holdings plc 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$255.39；距</w:t>
      </w:r>
      <w:r>
        <w:t xml:space="preserve"> 2026-06-18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-41.9%。主题：CPU</w:t>
      </w:r>
      <w:r>
        <w:t xml:space="preserve"> IP / Royalty </w:t>
      </w:r>
      <w:r>
        <w:rPr>
          <w:rFonts w:hint="eastAsia"/>
        </w:rPr>
        <w:t xml:space="preserve">CPU架构授权。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78.2%，一致预期</w:t>
      </w:r>
      <w:r>
        <w:t xml:space="preserve"> </w:t>
      </w:r>
      <w:r>
        <w:rPr>
          <w:rFonts w:hint="eastAsia"/>
        </w:rPr>
        <w:t xml:space="preserve">36.2%；三情景价值</w:t>
      </w:r>
      <w:r>
        <w:t xml:space="preserve"> $27/$67/$122。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2026-11-05（TENTATIVE</w:t>
      </w:r>
      <w:r>
        <w:t xml:space="preserve"> </w:t>
      </w:r>
      <w:r>
        <w:rPr>
          <w:rFonts w:hint="eastAsia"/>
        </w:rPr>
        <w:t xml:space="preserve">直至公司确认）；盯：版税收入、授权收入、RPO、v9占比。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CPU IP / Royalty </w:t>
      </w:r>
      <w:r>
        <w:rPr>
          <w:rFonts w:hint="eastAsia"/>
        </w:rPr>
        <w:t xml:space="preserve">CPU架构授权。持有者在乎的是：ARM通过v9与CSS提升每颗芯片版税，并扩展到数据中心CPU；估值极高，市场隐含长期高增长，任何智能手机周期或客户冲突(如与高通诉讼、自研芯片与客户竞争)都会冲击预期。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78.2%，一致预期</w:t>
      </w:r>
      <w:r>
        <w:t xml:space="preserve"> </w:t>
      </w:r>
      <w:r>
        <w:rPr>
          <w:rFonts w:hint="eastAsia"/>
        </w:rPr>
        <w:t xml:space="preserve">36.2%——市场定价比分析师更乐观。跑率/静态</w:t>
      </w:r>
      <w:r>
        <w:t xml:space="preserve"> P/E </w:t>
      </w:r>
      <w:r>
        <w:rPr>
          <w:rFonts w:hint="eastAsia"/>
        </w:rPr>
        <w:t xml:space="preserve">263.3×、前瞻</w:t>
      </w:r>
      <w:r>
        <w:t xml:space="preserve"> P/E </w:t>
      </w:r>
      <w:r>
        <w:rPr>
          <w:rFonts w:hint="eastAsia"/>
        </w:rPr>
        <w:t xml:space="preserve">83.4×（Yahoo）。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22.4%）→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97.2%）→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断点：Royalty-rate</w:t>
      </w:r>
      <w:r>
        <w:t xml:space="preserve"> uplift (v9/CSS) adoption; data-center CPU </w:t>
      </w:r>
      <w:r>
        <w:rPr>
          <w:rFonts w:hint="eastAsia"/>
        </w:rPr>
        <w:t xml:space="preserve">share｜v9/CSS版税率提升速度；数据中心CPU份额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折现。ARM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97.2%；收入同比</w:t>
      </w:r>
      <w:r>
        <w:t xml:space="preserve"> </w:t>
      </w:r>
      <w:r>
        <w:rPr>
          <w:rFonts w:hint="eastAsia"/>
        </w:rPr>
        <w:t xml:space="preserve">22.4%。新闻多数改变的是现金流预期，而非折现率。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竞争者：x86</w:t>
      </w:r>
      <w:r>
        <w:t xml:space="preserve"> (Intel/AMD), RISC-V (SiFive, Chinese </w:t>
      </w:r>
      <w:r>
        <w:rPr>
          <w:rFonts w:hint="eastAsia"/>
        </w:rPr>
        <w:t xml:space="preserve">vendors)｜x86、RISC-V。客户：Apple,</w:t>
      </w:r>
      <w:r>
        <w:t xml:space="preserve"> Qualcomm, MediaTek, NVDA (Grace/Vera), AWS (Graviton), Google (Axion), MSFT (Cobalt), </w:t>
      </w:r>
      <w:r>
        <w:rPr>
          <w:rFonts w:hint="eastAsia"/>
        </w:rPr>
        <w:t xml:space="preserve">SoftBank｜苹果、高通、联发科、NVDA、各大云厂自研CPU。若</w:t>
      </w:r>
      <w:r>
        <w:t xml:space="preserve"> ARM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看多会错，如果：RISC-V</w:t>
      </w:r>
      <w:r>
        <w:t xml:space="preserve"> substitution, licensee pushback, SoftBank </w:t>
      </w:r>
      <w:r>
        <w:rPr>
          <w:rFonts w:hint="eastAsia"/>
        </w:rPr>
        <w:t xml:space="preserve">overhang｜RISC-V替代、客户反弹、软银持股压力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78.2%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36.2%；近几季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+18% / 2025-12 +5% / 2026-03 +4% / 2026-06 +11%。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买方押：DC</w:t>
      </w:r>
      <w:r>
        <w:t xml:space="preserve"> CPU share rises fast; CSS adoption; own-silicon </w:t>
      </w:r>
      <w:r>
        <w:rPr>
          <w:rFonts w:hint="eastAsia"/>
        </w:rPr>
        <w:t xml:space="preserve">wins｜DC</w:t>
      </w:r>
      <w:r>
        <w:t xml:space="preserve"> </w:t>
      </w:r>
      <w:r>
        <w:rPr>
          <w:rFonts w:hint="eastAsia"/>
        </w:rPr>
        <w:t xml:space="preserve">CPU份额快升；CSS普及；自研芯片获单。卖方押：RISC-V</w:t>
      </w:r>
      <w:r>
        <w:t xml:space="preserve"> substitution, licensee pushback, SoftBank </w:t>
      </w:r>
      <w:r>
        <w:rPr>
          <w:rFonts w:hint="eastAsia"/>
        </w:rPr>
        <w:t xml:space="preserve">overhang｜RISC-V替代、客户反弹、软银持股压力。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2023 </w:t>
      </w:r>
      <w:r>
        <w:rPr>
          <w:rFonts w:hint="eastAsia"/>
        </w:rPr>
        <w:t xml:space="preserve">年以来最大的三次回撤：2024-07→2025-04</w:t>
      </w:r>
      <w:r>
        <w:t xml:space="preserve">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</w:t>
      </w:r>
      <w:r>
        <w:rPr>
          <w:rFonts w:hint="eastAsia"/>
        </w:rPr>
        <w:t xml:space="preserve">-25%；中位数</w:t>
      </w:r>
      <w:r>
        <w:t xml:space="preserve"> </w:t>
      </w:r>
      <w:r>
        <w:rPr>
          <w:rFonts w:hint="eastAsia"/>
        </w:rPr>
        <w:t xml:space="preserve">-41%。当前距高点</w:t>
      </w:r>
      <w:r>
        <w:t xml:space="preserve"> </w:t>
      </w:r>
      <w:r>
        <w:rPr>
          <w:rFonts w:hint="eastAsia"/>
        </w:rPr>
        <w:t xml:space="preserve">-41.9%。毛利率区间：95.2%–97.9%（本快照内）。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ARM通过v9与CSS提升每颗芯片版税，并扩展到数据中心CPU；估值极高，市场隐含长期高增长，任何智能手机周期或客户冲突(如与高通诉讼、自研芯片与客户竞争)都会冲击预期。（HYPOTHESIS）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RISC-V substitution, licensee pushback, SoftBank </w:t>
      </w:r>
      <w:r>
        <w:rPr>
          <w:rFonts w:hint="eastAsia"/>
        </w:rPr>
        <w:t xml:space="preserve">overhang｜RISC-V替代、客户反弹、软银持股压力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$255.39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$67 </w:t>
      </w:r>
      <w:r>
        <w:rPr>
          <w:rFonts w:hint="eastAsia"/>
        </w:rPr>
        <w:t xml:space="preserve">279.6%，安全边际取决于假设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2024-07→2025-04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-25%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$255.39 vs Base </w:t>
            </w:r>
            <w:r>
              <w:rPr>
                <w:rFonts w:hint="eastAsia"/>
              </w:rPr>
              <w:t xml:space="preserve">价值</w:t>
            </w:r>
            <w:r>
              <w:t xml:space="preserve"> $67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78.2% vs </w:t>
            </w:r>
            <w:r>
              <w:rPr>
                <w:rFonts w:hint="eastAsia"/>
              </w:rPr>
              <w:t xml:space="preserve">一致预期</w:t>
            </w:r>
            <w:r>
              <w:t xml:space="preserve"> 36.2%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97.2% → 97.2%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+4% → +11%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+22.4%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-41.9%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-41%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证据接近打平（加权</w:t>
      </w:r>
      <w:r>
        <w:t xml:space="preserve"> 7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78.2%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22.4%）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97.2%）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Royalty revenue, licensing revenue, RPO, v9 </w:t>
            </w:r>
            <w:r>
              <w:rPr>
                <w:rFonts w:hint="eastAsia"/>
              </w:rPr>
              <w:t xml:space="preserve">mix｜版税收入、授权收入、RPO、v9占比</w:t>
            </w:r>
          </w:p>
        </w:tc>
        <w:tc>
          <w:tcPr/>
          <w:p>
            <w:pPr>
              <w:pStyle w:val="Compact"/>
            </w:pPr>
            <w:r>
              <w:t xml:space="preserve">Royalty growth below smartphone+DC unit growth; licensing lumpiness without backlog </w:t>
            </w:r>
            <w:r>
              <w:rPr>
                <w:rFonts w:hint="eastAsia"/>
              </w:rPr>
              <w:t xml:space="preserve">support｜版税增速低于出货增速；授权收入无RPO支持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78.2%、共识</w:t>
      </w:r>
      <w:r>
        <w:t xml:space="preserve"> </w:t>
      </w:r>
      <w:r>
        <w:rPr>
          <w:rFonts w:hint="eastAsia"/>
        </w:rPr>
        <w:t xml:space="preserve">36.2%。如果公司下季’超预期’但只超共识不超隐含，股价可能怎样？为什么？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97.2%，区间</w:t>
      </w:r>
      <w:r>
        <w:t xml:space="preserve"> </w:t>
      </w:r>
      <w:r>
        <w:rPr>
          <w:rFonts w:hint="eastAsia"/>
        </w:rPr>
        <w:t xml:space="preserve">95.2%–97.9%。用’第一性原理’说明利润率下降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-41%，当前</w:t>
      </w:r>
      <w:r>
        <w:t xml:space="preserve"> </w:t>
      </w:r>
      <w:r>
        <w:rPr>
          <w:rFonts w:hint="eastAsia"/>
        </w:rPr>
        <w:t xml:space="preserve">-41.9%。为什么’已经跌了很多’不能单独作为买入理由？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5-财报后填写"/>
    <w:p>
      <w:pPr>
        <w:pStyle w:val="Heading2"/>
      </w:pPr>
      <w:r>
        <w:rPr>
          <w:rFonts w:hint="eastAsia"/>
        </w:rPr>
        <w:t xml:space="preserve">八、事后推理复盘（2026-11-05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ARM thinking-first edition. Price $255.39; -41.9% from 2026-06-18 high. Reverse DCF: price implies ~78.2% Y1 growth vs consensus 36.2%. Scenario values $27/$67/$122; WACC 13.2%. Base rates: largest drawdowns since 2023: 2024-07→2025-04 </w:t>
      </w:r>
      <w:r>
        <w:rPr>
          <w:rFonts w:hint="eastAsia"/>
        </w:rPr>
        <w:t xml:space="preserve">-54%；2024-02→2024-04</w:t>
      </w:r>
      <w:r>
        <w:t xml:space="preserve"> </w:t>
      </w:r>
      <w:r>
        <w:rPr>
          <w:rFonts w:hint="eastAsia"/>
        </w:rPr>
        <w:t xml:space="preserve">-41%；2026-06→2026-06</w:t>
      </w:r>
      <w:r>
        <w:t xml:space="preserve"> -25%. Evidence weighting 7:6 (bull:bear). Falsifiers: Royalty growth below smartphone+DC unit growth; licensing lumpiness without backlog </w:t>
      </w:r>
      <w:r>
        <w:rPr>
          <w:rFonts w:hint="eastAsia"/>
        </w:rPr>
        <w:t xml:space="preserve">support｜版税增速低于出货增速；授权收入无RPO支持.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2026-10-14T00:03:43Z</dcterms:created>
  <dcterms:modified xsi:type="dcterms:W3CDTF">2026-10-14T00:03:43Z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