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rm-初学者教学版-中文-v20261016-0756"/>
    <w:p>
      <w:pPr>
        <w:pStyle w:val="Heading1"/>
      </w:pPr>
      <w:r>
        <w:t xml:space="preserve">ARM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Arm Holdings plc </w:t>
      </w:r>
      <w:r>
        <w:rPr>
          <w:rFonts w:hint="eastAsia"/>
        </w:rPr>
        <w:t xml:space="preserve">是一家</w:t>
      </w:r>
      <w:r>
        <w:t xml:space="preserve"> CPU IP / Royalty </w:t>
      </w:r>
      <w:r>
        <w:rPr>
          <w:rFonts w:hint="eastAsia"/>
        </w:rPr>
        <w:t xml:space="preserve">CPU架构授权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$244.79。我们的Base模型认为每股价值约</w:t>
      </w:r>
      <w:r>
        <w:t xml:space="preserve"> </w:t>
      </w:r>
      <w:r>
        <w:rPr>
          <w:rFonts w:hint="eastAsia"/>
        </w:rPr>
        <w:t xml:space="preserve">$68（-72.4%）。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‘0.45’</w:t>
      </w:r>
      <w:r>
        <w:t xml:space="preserve">,</w:t>
      </w:r>
      <w:r>
        <w:t xml:space="preserve"> </w:t>
      </w:r>
      <w:r>
        <w:t xml:space="preserve">‘0.4038’</w:t>
      </w:r>
      <w:r>
        <w:t xml:space="preserve">,</w:t>
      </w:r>
      <w:r>
        <w:t xml:space="preserve"> </w:t>
      </w:r>
      <w:r>
        <w:t xml:space="preserve">‘0.1144’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CPU IP / Royalty </w:t>
      </w:r>
      <w:r>
        <w:rPr>
          <w:rFonts w:hint="eastAsia"/>
        </w:rPr>
        <w:t xml:space="preserve">CPU架构授权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36.2%；m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7.0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28.5% </w:t>
      </w:r>
      <w:r>
        <w:rPr>
          <w:rFonts w:hint="eastAsia"/>
        </w:rPr>
        <w:t xml:space="preserve">向</w:t>
      </w:r>
      <w:r>
        <w:t xml:space="preserve"> 40.0% </w:t>
      </w:r>
      <w:r>
        <w:rPr>
          <w:rFonts w:hint="eastAsia"/>
        </w:rPr>
        <w:t xml:space="preserve">线性过渡）=</w:t>
      </w:r>
      <w:r>
        <w:t xml:space="preserve"> 2.2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1.9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68.9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36.2%；价格隐含增速</w:t>
      </w:r>
      <w:r>
        <w:t xml:space="preserve"> 76.5%。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$68 / Bull </w:t>
      </w:r>
      <w:r>
        <w:rPr>
          <w:rFonts w:hint="eastAsia"/>
        </w:rPr>
        <w:t xml:space="preserve">$123；概率加权</w:t>
      </w:r>
      <w:r>
        <w:t xml:space="preserve"> $71。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RISC-V substitution, licensee pushback, SoftBank </w:t>
      </w:r>
      <w:r>
        <w:rPr>
          <w:rFonts w:hint="eastAsia"/>
        </w:rPr>
        <w:t xml:space="preserve">overhang｜RISC-V替代、客户反弹、软银持股压力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0d3bad9410ac6b83bbc6b7e8c400de0604c265"/>
    <w:p>
      <w:pPr>
        <w:pStyle w:val="Heading1"/>
      </w:pPr>
      <w:r>
        <w:t xml:space="preserve">ARM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Arm Holdings plc is a CPU IP / Royalty </w:t>
      </w:r>
      <w:r>
        <w:rPr>
          <w:rFonts w:hint="eastAsia"/>
        </w:rPr>
        <w:t xml:space="preserve">CPU架构授权</w:t>
      </w:r>
      <w:r>
        <w:t xml:space="preserve"> company. Price $244.79; our Base model value ≈ $68 (-72.4%).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‘0.45’</w:t>
      </w:r>
      <w:r>
        <w:t xml:space="preserve">,</w:t>
      </w:r>
      <w:r>
        <w:t xml:space="preserve"> </w:t>
      </w:r>
      <w:r>
        <w:t xml:space="preserve">‘0.4038’</w:t>
      </w:r>
      <w:r>
        <w:t xml:space="preserve">,</w:t>
      </w:r>
      <w:r>
        <w:t xml:space="preserve"> </w:t>
      </w:r>
      <w:r>
        <w:t xml:space="preserve">‘0.1144’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5.2 bn USD; g₁ = 36.2%; m = long-run FCF margin = 40.0%; W = 13.2%.</w:t>
      </w:r>
      <w:r>
        <w:t xml:space="preserve"> </w:t>
      </w:r>
      <w:r>
        <w:t xml:space="preserve">R₁ = R₀×(1+g₁) = 7.0 bn USD; FCF₁ = 2.2 bn USD; PV = FCF₁/(1+W) = 1.9 bn USD; 10 years + terminal → EV 68.9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36.2%; price-implied growth 76.5%.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$68 / Bull $123; weighted $71.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RISC-V substitution, licensee pushback, SoftBank </w:t>
      </w:r>
      <w:r>
        <w:rPr>
          <w:rFonts w:hint="eastAsia"/>
        </w:rPr>
        <w:t xml:space="preserve">overhang｜RISC-V替代、客户反弹、软银持股压力</w:t>
      </w:r>
      <w:r>
        <w:t xml:space="preserve"> — Falsifiers: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R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2026-10-15T23:58:08Z</dcterms:created>
  <dcterms:modified xsi:type="dcterms:W3CDTF">2026-10-15T23:58:08Z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