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4f5e4c0676903a51a2012418527b7ca2d8a006"/>
    <w:p>
      <w:pPr>
        <w:pStyle w:val="Heading1"/>
      </w:pPr>
      <w:r>
        <w:t xml:space="preserve">CRWD CrowdStrike Holdings,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$244.57｜市值</w:t>
      </w:r>
      <w:r>
        <w:t xml:space="preserve"> 250.4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CrowdStrike是安全平台整合者，Falcon</w:t>
      </w:r>
      <w:r>
        <w:t xml:space="preserve"> </w:t>
      </w:r>
      <w:r>
        <w:rPr>
          <w:rFonts w:hint="eastAsia"/>
        </w:rPr>
        <w:t xml:space="preserve">Flex推动多模块采用；AI</w:t>
      </w:r>
      <w:r>
        <w:t xml:space="preserve"> </w:t>
      </w:r>
      <w:r>
        <w:rPr>
          <w:rFonts w:hint="eastAsia"/>
        </w:rPr>
        <w:t xml:space="preserve">Agent带来新的身份/数据安全需求。</w:t>
      </w:r>
    </w:p>
    <w:p>
      <w:pPr>
        <w:pStyle w:val="Compact"/>
        <w:numPr>
          <w:ilvl w:val="0"/>
          <w:numId w:val="1001"/>
        </w:numPr>
      </w:pPr>
      <w:r>
        <w:rPr>
          <w:rFonts w:hint="eastAsia"/>
          <w:b/>
          <w:bCs/>
        </w:rPr>
        <w:t xml:space="preserve">多头驱动</w:t>
      </w:r>
      <w:r>
        <w:t xml:space="preserve">: Net new ARR reaccelerates; Flex converts; FCF margin </w:t>
      </w:r>
      <w:r>
        <w:rPr>
          <w:rFonts w:hint="eastAsia"/>
        </w:rPr>
        <w:t xml:space="preserve">&gt;30%｜净新增ARR再加速；Flex转化；FCF利润率&gt;30%</w:t>
      </w:r>
    </w:p>
    <w:p>
      <w:pPr>
        <w:pStyle w:val="Compact"/>
        <w:numPr>
          <w:ilvl w:val="0"/>
          <w:numId w:val="1001"/>
        </w:numPr>
      </w:pPr>
      <w:r>
        <w:rPr>
          <w:rFonts w:hint="eastAsia"/>
          <w:b/>
          <w:bCs/>
        </w:rPr>
        <w:t xml:space="preserve">空头驱动</w:t>
      </w:r>
      <w:r>
        <w:t xml:space="preserve">: Pricing pressure from Microsoft bundling; outage-type reputational </w:t>
      </w:r>
      <w:r>
        <w:rPr>
          <w:rFonts w:hint="eastAsia"/>
        </w:rPr>
        <w:t xml:space="preserve">events｜微软捆绑压价；宕机类声誉事件</w:t>
      </w:r>
    </w:p>
    <w:p>
      <w:pPr>
        <w:pStyle w:val="Compact"/>
        <w:numPr>
          <w:ilvl w:val="0"/>
          <w:numId w:val="1001"/>
        </w:numPr>
      </w:pPr>
      <w:r>
        <w:rPr>
          <w:rFonts w:hint="eastAsia"/>
          <w:b/>
          <w:bCs/>
        </w:rPr>
        <w:t xml:space="preserve">证伪条件</w:t>
      </w:r>
      <w:r>
        <w:rPr>
          <w:b/>
          <w:bCs/>
        </w:rPr>
        <w:t xml:space="preserve"> Falsifiers</w:t>
      </w:r>
      <w:r>
        <w:t xml:space="preserve">: Net new ARR declines y/y; gross retention </w:t>
      </w:r>
      <w:r>
        <w:rPr>
          <w:rFonts w:hint="eastAsia"/>
        </w:rPr>
        <w:t xml:space="preserve">slips｜净新增ARR同比下降；毛留存下滑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Cybersecurity platform </w:t>
      </w:r>
      <w:r>
        <w:rPr>
          <w:rFonts w:hint="eastAsia"/>
        </w:rPr>
        <w:t xml:space="preserve">网络安全平台</w:t>
      </w:r>
    </w:p>
    <w:p>
      <w:pPr>
        <w:pStyle w:val="Compact"/>
        <w:numPr>
          <w:ilvl w:val="0"/>
          <w:numId w:val="1002"/>
        </w:numPr>
      </w:pPr>
      <w:r>
        <w:rPr>
          <w:rFonts w:hint="eastAsia"/>
        </w:rPr>
        <w:t xml:space="preserve">业务分部</w:t>
      </w:r>
      <w:r>
        <w:t xml:space="preserve"> Segments: Subscription </w:t>
      </w:r>
      <w:r>
        <w:rPr>
          <w:rFonts w:hint="eastAsia"/>
        </w:rPr>
        <w:t xml:space="preserve">订阅；Professional</w:t>
      </w:r>
      <w:r>
        <w:t xml:space="preserve"> services </w:t>
      </w:r>
      <w:r>
        <w:rPr>
          <w:rFonts w:hint="eastAsia"/>
        </w:rPr>
        <w:t xml:space="preserve">专业服务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02"/>
        </w:numPr>
      </w:pPr>
      <w:r>
        <w:rPr>
          <w:rFonts w:hint="eastAsia"/>
        </w:rPr>
        <w:t xml:space="preserve">主要客户:</w:t>
      </w:r>
      <w:r>
        <w:t xml:space="preserve"> Enterprises, governments, SMB via </w:t>
      </w:r>
      <w:r>
        <w:rPr>
          <w:rFonts w:hint="eastAsia"/>
        </w:rPr>
        <w:t xml:space="preserve">MSSPs｜企业、政府、中小企业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infrastructure (AWS, </w:t>
      </w:r>
      <w:r>
        <w:rPr>
          <w:rFonts w:hint="eastAsia"/>
        </w:rPr>
        <w:t xml:space="preserve">GCP)｜云基础设施</w:t>
      </w:r>
    </w:p>
    <w:p>
      <w:pPr>
        <w:pStyle w:val="Compact"/>
        <w:numPr>
          <w:ilvl w:val="0"/>
          <w:numId w:val="1003"/>
        </w:numPr>
      </w:pPr>
      <w:r>
        <w:rPr>
          <w:rFonts w:hint="eastAsia"/>
        </w:rPr>
        <w:t xml:space="preserve">竞争者</w:t>
      </w:r>
      <w:r>
        <w:t xml:space="preserve"> </w:t>
      </w:r>
      <w:r>
        <w:rPr>
          <w:rFonts w:hint="eastAsia"/>
        </w:rPr>
        <w:t xml:space="preserve">(含业外):</w:t>
      </w:r>
      <w:r>
        <w:t xml:space="preserve"> Microsoft Defender, Palo Alto, SentinelOne, </w:t>
      </w:r>
      <w:r>
        <w:rPr>
          <w:rFonts w:hint="eastAsia"/>
        </w:rPr>
        <w:t xml:space="preserve">Zscaler｜微软、Palo</w:t>
      </w:r>
      <w:r>
        <w:t xml:space="preserve"> Alto、SentinelOne、Zscaler</w:t>
      </w:r>
    </w:p>
    <w:p>
      <w:pPr>
        <w:pStyle w:val="Compact"/>
        <w:numPr>
          <w:ilvl w:val="0"/>
          <w:numId w:val="1003"/>
        </w:numPr>
      </w:pPr>
      <w:r>
        <w:rPr>
          <w:rFonts w:hint="eastAsia"/>
        </w:rPr>
        <w:t xml:space="preserve">瓶颈/监管:</w:t>
      </w:r>
      <w:r>
        <w:t xml:space="preserve">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03"/>
        </w:numPr>
      </w:pPr>
      <w:r>
        <w:rPr>
          <w:rFonts w:hint="eastAsia"/>
        </w:rPr>
        <w:t xml:space="preserve">关键KPI:</w:t>
      </w:r>
      <w:r>
        <w:t xml:space="preserve"> ARR, net new ARR, NRR/GRR, FCF </w:t>
      </w:r>
      <w:r>
        <w:rPr>
          <w:rFonts w:hint="eastAsia"/>
        </w:rPr>
        <w:t xml:space="preserve">margin｜ARR、净新增ARR、留存率、FCF利润率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rPr>
          <w:rFonts w:hint="eastAsia"/>
        </w:rPr>
        <w:t xml:space="preserve">资产负债:</w:t>
      </w:r>
      <w:r>
        <w:t xml:space="preserve"> </w:t>
      </w:r>
      <w:r>
        <w:rPr>
          <w:rFonts w:hint="eastAsia"/>
        </w:rPr>
        <w:t xml:space="preserve">现金</w:t>
      </w:r>
      <w:r>
        <w:t xml:space="preserve"> 5.0 bn </w:t>
      </w:r>
      <w:r>
        <w:rPr>
          <w:rFonts w:hint="eastAsia"/>
        </w:rPr>
        <w:t xml:space="preserve">USD；总负债</w:t>
      </w:r>
      <w:r>
        <w:t xml:space="preserve"> 0.8 bn </w:t>
      </w:r>
      <w:r>
        <w:rPr>
          <w:rFonts w:hint="eastAsia"/>
        </w:rPr>
        <w:t xml:space="preserve">USD；净现金</w:t>
      </w:r>
      <w:r>
        <w:t xml:space="preserve"> 4.2 bn USD。TTM FCF 1.5 bn </w:t>
      </w:r>
      <w:r>
        <w:rPr>
          <w:rFonts w:hint="eastAsia"/>
        </w:rPr>
        <w:t xml:space="preserve">USD（FCF率</w:t>
      </w:r>
      <w:r>
        <w:t xml:space="preserve"> </w:t>
      </w:r>
      <w:r>
        <w:rPr>
          <w:rFonts w:hint="eastAsia"/>
        </w:rPr>
        <w:t xml:space="preserve">28.2%）。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0.31146（45位分析师）；收入一致预期</w:t>
      </w:r>
      <w:r>
        <w:t xml:space="preserve"> 1.5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$27.93</w:t>
            </w:r>
          </w:p>
        </w:tc>
        <w:tc>
          <w:tcPr/>
          <w:p>
            <w:pPr>
              <w:pStyle w:val="Compact"/>
            </w:pPr>
            <w:r>
              <w:t xml:space="preserve">-88.6%</w:t>
            </w:r>
          </w:p>
        </w:tc>
      </w:tr>
      <w:tr>
        <w:tc>
          <w:tcPr/>
          <w:p>
            <w:pPr>
              <w:pStyle w:val="Compact"/>
            </w:pPr>
            <w:r>
              <w:t xml:space="preserve">2Q</w:t>
            </w:r>
          </w:p>
        </w:tc>
        <w:tc>
          <w:tcPr/>
          <w:p>
            <w:pPr>
              <w:pStyle w:val="Compact"/>
            </w:pPr>
            <w:r>
              <w:t xml:space="preserve">Base</w:t>
            </w:r>
          </w:p>
        </w:tc>
        <w:tc>
          <w:tcPr/>
          <w:p>
            <w:pPr>
              <w:pStyle w:val="Compact"/>
            </w:pPr>
            <w:r>
              <w:t xml:space="preserve">$53.74</w:t>
            </w:r>
          </w:p>
        </w:tc>
        <w:tc>
          <w:tcPr/>
          <w:p>
            <w:pPr>
              <w:pStyle w:val="Compact"/>
            </w:pPr>
            <w:r>
              <w:t xml:space="preserve">-78.0%</w:t>
            </w:r>
          </w:p>
        </w:tc>
      </w:tr>
      <w:tr>
        <w:tc>
          <w:tcPr/>
          <w:p>
            <w:pPr>
              <w:pStyle w:val="Compact"/>
            </w:pPr>
            <w:r>
              <w:t xml:space="preserve">2Q</w:t>
            </w:r>
          </w:p>
        </w:tc>
        <w:tc>
          <w:tcPr/>
          <w:p>
            <w:pPr>
              <w:pStyle w:val="Compact"/>
            </w:pPr>
            <w:r>
              <w:t xml:space="preserve">Bull</w:t>
            </w:r>
          </w:p>
        </w:tc>
        <w:tc>
          <w:tcPr/>
          <w:p>
            <w:pPr>
              <w:pStyle w:val="Compact"/>
            </w:pPr>
            <w:r>
              <w:t xml:space="preserve">$83.47</w:t>
            </w:r>
          </w:p>
        </w:tc>
        <w:tc>
          <w:tcPr/>
          <w:p>
            <w:pPr>
              <w:pStyle w:val="Compact"/>
            </w:pPr>
            <w:r>
              <w:t xml:space="preserve">-65.9%</w:t>
            </w:r>
          </w:p>
        </w:tc>
      </w:tr>
      <w:tr>
        <w:tc>
          <w:tcPr/>
          <w:p>
            <w:pPr>
              <w:pStyle w:val="Compact"/>
            </w:pPr>
            <w:r>
              <w:t xml:space="preserve">4Q</w:t>
            </w:r>
          </w:p>
        </w:tc>
        <w:tc>
          <w:tcPr/>
          <w:p>
            <w:pPr>
              <w:pStyle w:val="Compact"/>
            </w:pPr>
            <w:r>
              <w:t xml:space="preserve">Bear</w:t>
            </w:r>
          </w:p>
        </w:tc>
        <w:tc>
          <w:tcPr/>
          <w:p>
            <w:pPr>
              <w:pStyle w:val="Compact"/>
            </w:pPr>
            <w:r>
              <w:t xml:space="preserve">$27.39</w:t>
            </w:r>
          </w:p>
        </w:tc>
        <w:tc>
          <w:tcPr/>
          <w:p>
            <w:pPr>
              <w:pStyle w:val="Compact"/>
            </w:pPr>
            <w:r>
              <w:t xml:space="preserve">-88.8%</w:t>
            </w:r>
          </w:p>
        </w:tc>
      </w:tr>
      <w:tr>
        <w:tc>
          <w:tcPr/>
          <w:p>
            <w:pPr>
              <w:pStyle w:val="Compact"/>
            </w:pPr>
            <w:r>
              <w:t xml:space="preserve">4Q</w:t>
            </w:r>
          </w:p>
        </w:tc>
        <w:tc>
          <w:tcPr/>
          <w:p>
            <w:pPr>
              <w:pStyle w:val="Compact"/>
            </w:pPr>
            <w:r>
              <w:t xml:space="preserve">Base</w:t>
            </w:r>
          </w:p>
        </w:tc>
        <w:tc>
          <w:tcPr/>
          <w:p>
            <w:pPr>
              <w:pStyle w:val="Compact"/>
            </w:pPr>
            <w:r>
              <w:t xml:space="preserve">$56.74</w:t>
            </w:r>
          </w:p>
        </w:tc>
        <w:tc>
          <w:tcPr/>
          <w:p>
            <w:pPr>
              <w:pStyle w:val="Compact"/>
            </w:pPr>
            <w:r>
              <w:t xml:space="preserve">-76.8%</w:t>
            </w:r>
          </w:p>
        </w:tc>
      </w:tr>
      <w:tr>
        <w:tc>
          <w:tcPr/>
          <w:p>
            <w:pPr>
              <w:pStyle w:val="Compact"/>
            </w:pPr>
            <w:r>
              <w:t xml:space="preserve">4Q</w:t>
            </w:r>
          </w:p>
        </w:tc>
        <w:tc>
          <w:tcPr/>
          <w:p>
            <w:pPr>
              <w:pStyle w:val="Compact"/>
            </w:pPr>
            <w:r>
              <w:t xml:space="preserve">Bull</w:t>
            </w:r>
          </w:p>
        </w:tc>
        <w:tc>
          <w:tcPr/>
          <w:p>
            <w:pPr>
              <w:pStyle w:val="Compact"/>
            </w:pPr>
            <w:r>
              <w:t xml:space="preserve">$92.19</w:t>
            </w:r>
          </w:p>
        </w:tc>
        <w:tc>
          <w:tcPr/>
          <w:p>
            <w:pPr>
              <w:pStyle w:val="Compact"/>
            </w:pPr>
            <w:r>
              <w:t xml:space="preserve">-62.3%</w:t>
            </w:r>
          </w:p>
        </w:tc>
      </w:tr>
      <w:tr>
        <w:tc>
          <w:tcPr/>
          <w:p>
            <w:pPr>
              <w:pStyle w:val="Compact"/>
            </w:pPr>
            <w:r>
              <w:t xml:space="preserve">6Q</w:t>
            </w:r>
          </w:p>
        </w:tc>
        <w:tc>
          <w:tcPr/>
          <w:p>
            <w:pPr>
              <w:pStyle w:val="Compact"/>
            </w:pPr>
            <w:r>
              <w:t xml:space="preserve">Bear</w:t>
            </w:r>
          </w:p>
        </w:tc>
        <w:tc>
          <w:tcPr/>
          <w:p>
            <w:pPr>
              <w:pStyle w:val="Compact"/>
            </w:pPr>
            <w:r>
              <w:t xml:space="preserve">$26.87</w:t>
            </w:r>
          </w:p>
        </w:tc>
        <w:tc>
          <w:tcPr/>
          <w:p>
            <w:pPr>
              <w:pStyle w:val="Compact"/>
            </w:pPr>
            <w:r>
              <w:t xml:space="preserve">-89.0%</w:t>
            </w:r>
          </w:p>
        </w:tc>
      </w:tr>
      <w:tr>
        <w:tc>
          <w:tcPr/>
          <w:p>
            <w:pPr>
              <w:pStyle w:val="Compact"/>
            </w:pPr>
            <w:r>
              <w:t xml:space="preserve">6Q</w:t>
            </w:r>
          </w:p>
        </w:tc>
        <w:tc>
          <w:tcPr/>
          <w:p>
            <w:pPr>
              <w:pStyle w:val="Compact"/>
            </w:pPr>
            <w:r>
              <w:t xml:space="preserve">Base</w:t>
            </w:r>
          </w:p>
        </w:tc>
        <w:tc>
          <w:tcPr/>
          <w:p>
            <w:pPr>
              <w:pStyle w:val="Compact"/>
            </w:pPr>
            <w:r>
              <w:t xml:space="preserve">$59.94</w:t>
            </w:r>
          </w:p>
        </w:tc>
        <w:tc>
          <w:tcPr/>
          <w:p>
            <w:pPr>
              <w:pStyle w:val="Compact"/>
            </w:pPr>
            <w:r>
              <w:t xml:space="preserve">-75.5%</w:t>
            </w:r>
          </w:p>
        </w:tc>
      </w:tr>
      <w:tr>
        <w:tc>
          <w:tcPr/>
          <w:p>
            <w:pPr>
              <w:pStyle w:val="Compact"/>
            </w:pPr>
            <w:r>
              <w:t xml:space="preserve">6Q</w:t>
            </w:r>
          </w:p>
        </w:tc>
        <w:tc>
          <w:tcPr/>
          <w:p>
            <w:pPr>
              <w:pStyle w:val="Compact"/>
            </w:pPr>
            <w:r>
              <w:t xml:space="preserve">Bull</w:t>
            </w:r>
          </w:p>
        </w:tc>
        <w:tc>
          <w:tcPr/>
          <w:p>
            <w:pPr>
              <w:pStyle w:val="Compact"/>
            </w:pPr>
            <w:r>
              <w:t xml:space="preserve">$101.84</w:t>
            </w:r>
          </w:p>
        </w:tc>
        <w:tc>
          <w:tcPr/>
          <w:p>
            <w:pPr>
              <w:pStyle w:val="Compact"/>
            </w:pPr>
            <w:r>
              <w:t xml:space="preserve">-58.4%</w:t>
            </w:r>
          </w:p>
        </w:tc>
      </w:tr>
      <w:tr>
        <w:tc>
          <w:tcPr/>
          <w:p>
            <w:pPr>
              <w:pStyle w:val="Compact"/>
            </w:pPr>
            <w:r>
              <w:t xml:space="preserve">8Q</w:t>
            </w:r>
          </w:p>
        </w:tc>
        <w:tc>
          <w:tcPr/>
          <w:p>
            <w:pPr>
              <w:pStyle w:val="Compact"/>
            </w:pPr>
            <w:r>
              <w:t xml:space="preserve">Bear</w:t>
            </w:r>
          </w:p>
        </w:tc>
        <w:tc>
          <w:tcPr/>
          <w:p>
            <w:pPr>
              <w:pStyle w:val="Compact"/>
            </w:pPr>
            <w:r>
              <w:t xml:space="preserve">$26.37</w:t>
            </w:r>
          </w:p>
        </w:tc>
        <w:tc>
          <w:tcPr/>
          <w:p>
            <w:pPr>
              <w:pStyle w:val="Compact"/>
            </w:pPr>
            <w:r>
              <w:t xml:space="preserve">-89.2%</w:t>
            </w:r>
          </w:p>
        </w:tc>
      </w:tr>
      <w:tr>
        <w:tc>
          <w:tcPr/>
          <w:p>
            <w:pPr>
              <w:pStyle w:val="Compact"/>
            </w:pPr>
            <w:r>
              <w:t xml:space="preserve">8Q</w:t>
            </w:r>
          </w:p>
        </w:tc>
        <w:tc>
          <w:tcPr/>
          <w:p>
            <w:pPr>
              <w:pStyle w:val="Compact"/>
            </w:pPr>
            <w:r>
              <w:t xml:space="preserve">Base</w:t>
            </w:r>
          </w:p>
        </w:tc>
        <w:tc>
          <w:tcPr/>
          <w:p>
            <w:pPr>
              <w:pStyle w:val="Compact"/>
            </w:pPr>
            <w:r>
              <w:t xml:space="preserve">$63.36</w:t>
            </w:r>
          </w:p>
        </w:tc>
        <w:tc>
          <w:tcPr/>
          <w:p>
            <w:pPr>
              <w:pStyle w:val="Compact"/>
            </w:pPr>
            <w:r>
              <w:t xml:space="preserve">-74.1%</w:t>
            </w:r>
          </w:p>
        </w:tc>
      </w:tr>
      <w:tr>
        <w:tc>
          <w:tcPr/>
          <w:p>
            <w:pPr>
              <w:pStyle w:val="Compact"/>
            </w:pPr>
            <w:r>
              <w:t xml:space="preserve">8Q</w:t>
            </w:r>
          </w:p>
        </w:tc>
        <w:tc>
          <w:tcPr/>
          <w:p>
            <w:pPr>
              <w:pStyle w:val="Compact"/>
            </w:pPr>
            <w:r>
              <w:t xml:space="preserve">Bull</w:t>
            </w:r>
          </w:p>
        </w:tc>
        <w:tc>
          <w:tcPr/>
          <w:p>
            <w:pPr>
              <w:pStyle w:val="Compact"/>
            </w:pPr>
            <w:r>
              <w:t xml:space="preserve">$112.52</w:t>
            </w:r>
          </w:p>
        </w:tc>
        <w:tc>
          <w:tcPr/>
          <w:p>
            <w:pPr>
              <w:pStyle w:val="Compact"/>
            </w:pPr>
            <w:r>
              <w:t xml:space="preserve">-54.0%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114.4x</w:t>
            </w:r>
          </w:p>
        </w:tc>
      </w:tr>
      <w:tr>
        <w:tc>
          <w:tcPr/>
          <w:p>
            <w:pPr>
              <w:pStyle w:val="Compact"/>
            </w:pPr>
            <w:r>
              <w:t xml:space="preserve">4Q</w:t>
            </w:r>
          </w:p>
        </w:tc>
        <w:tc>
          <w:tcPr/>
          <w:p>
            <w:pPr>
              <w:pStyle w:val="Compact"/>
            </w:pPr>
            <w:r>
              <w:t xml:space="preserve">101.9x</w:t>
            </w:r>
          </w:p>
        </w:tc>
      </w:tr>
      <w:tr>
        <w:tc>
          <w:tcPr/>
          <w:p>
            <w:pPr>
              <w:pStyle w:val="Compact"/>
            </w:pPr>
            <w:r>
              <w:t xml:space="preserve">6Q</w:t>
            </w:r>
          </w:p>
        </w:tc>
        <w:tc>
          <w:tcPr/>
          <w:p>
            <w:pPr>
              <w:pStyle w:val="Compact"/>
            </w:pPr>
            <w:r>
              <w:t xml:space="preserve">90.9x</w:t>
            </w:r>
          </w:p>
        </w:tc>
      </w:tr>
      <w:tr>
        <w:tc>
          <w:tcPr/>
          <w:p>
            <w:pPr>
              <w:pStyle w:val="Compact"/>
            </w:pPr>
            <w:r>
              <w:t xml:space="preserve">8Q</w:t>
            </w:r>
          </w:p>
        </w:tc>
        <w:tc>
          <w:tcPr/>
          <w:p>
            <w:pPr>
              <w:pStyle w:val="Compact"/>
            </w:pPr>
            <w:r>
              <w:t xml:space="preserve">81.0x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11.4%</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$24.48</w:t>
            </w:r>
          </w:p>
        </w:tc>
        <w:tc>
          <w:tcPr/>
          <w:p>
            <w:pPr>
              <w:pStyle w:val="Compact"/>
            </w:pPr>
            <w:r>
              <w:t xml:space="preserve">-90.0%</w:t>
            </w:r>
          </w:p>
        </w:tc>
      </w:tr>
      <w:tr>
        <w:tc>
          <w:tcPr/>
          <w:p>
            <w:pPr>
              <w:pStyle w:val="Compact"/>
            </w:pPr>
            <w:r>
              <w:t xml:space="preserve">Base</w:t>
            </w:r>
          </w:p>
        </w:tc>
        <w:tc>
          <w:tcPr/>
          <w:p>
            <w:pPr>
              <w:pStyle w:val="Compact"/>
            </w:pPr>
            <w:r>
              <w:t xml:space="preserve">22.7%</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$49.30</w:t>
            </w:r>
          </w:p>
        </w:tc>
        <w:tc>
          <w:tcPr/>
          <w:p>
            <w:pPr>
              <w:pStyle w:val="Compact"/>
            </w:pPr>
            <w:r>
              <w:t xml:space="preserve">-79.8%</w:t>
            </w:r>
          </w:p>
        </w:tc>
      </w:tr>
      <w:tr>
        <w:tc>
          <w:tcPr/>
          <w:p>
            <w:pPr>
              <w:pStyle w:val="Compact"/>
            </w:pPr>
            <w:r>
              <w:t xml:space="preserve">Bull</w:t>
            </w:r>
          </w:p>
        </w:tc>
        <w:tc>
          <w:tcPr/>
          <w:p>
            <w:pPr>
              <w:pStyle w:val="Compact"/>
            </w:pPr>
            <w:r>
              <w:t xml:space="preserve">29.5%</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$79.93</w:t>
            </w:r>
          </w:p>
        </w:tc>
        <w:tc>
          <w:tcPr/>
          <w:p>
            <w:pPr>
              <w:pStyle w:val="Compact"/>
            </w:pPr>
            <w:r>
              <w:t xml:space="preserve">-67.3%</w:t>
            </w:r>
          </w:p>
        </w:tc>
      </w:tr>
    </w:tbl>
    <w:p>
      <w:pPr>
        <w:pStyle w:val="BodyText"/>
      </w:pPr>
      <w:r>
        <w:rPr>
          <w:rFonts w:hint="eastAsia"/>
        </w:rPr>
        <w:t xml:space="preserve">概率加权价值</w:t>
      </w:r>
      <w:r>
        <w:t xml:space="preserve"> </w:t>
      </w:r>
      <w:r>
        <w:rPr>
          <w:b/>
          <w:bCs/>
        </w:rPr>
        <w:t xml:space="preserve">$50.75</w:t>
      </w:r>
      <w:r>
        <w:rPr>
          <w:rFonts w:hint="eastAsia"/>
        </w:rPr>
        <w:t xml:space="preserve">（相对现价</w:t>
      </w:r>
      <w:r>
        <w:t xml:space="preserve"> </w:t>
      </w:r>
      <w:r>
        <w:rPr>
          <w:rFonts w:hint="eastAsia"/>
        </w:rPr>
        <w:t xml:space="preserve">-79.2%）。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46.3 bn </w:t>
      </w:r>
      <w:r>
        <w:rPr>
          <w:rFonts w:hint="eastAsia"/>
        </w:rPr>
        <w:t xml:space="preserve">USD；终值占比</w:t>
      </w:r>
      <w:r>
        <w:t xml:space="preserve"> 53.8%。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71.2%</w:t>
      </w:r>
      <w:r>
        <w:rPr>
          <w:rFonts w:hint="eastAsia"/>
        </w:rPr>
        <w:t xml:space="preserve">；一致预期FY+1增速</w:t>
      </w:r>
      <w:r>
        <w:t xml:space="preserve"> 22.7%。</w:t>
      </w:r>
    </w:p>
    <w:p>
      <w:pPr>
        <w:numPr>
          <w:ilvl w:val="0"/>
          <w:numId w:val="1005"/>
        </w:numPr>
      </w:pPr>
      <w:r>
        <w:t xml:space="preserve">WACC (CAPM) = rf 5.2% + β 1.20 × ERP 5.0% = 11.2%。</w:t>
      </w:r>
    </w:p>
    <w:p>
      <w:pPr>
        <w:numPr>
          <w:ilvl w:val="0"/>
          <w:numId w:val="1005"/>
        </w:numPr>
      </w:pPr>
      <w:r>
        <w:t xml:space="preserve">SOTP segments </w:t>
      </w:r>
      <w:r>
        <w:rPr>
          <w:rFonts w:hint="eastAsia"/>
        </w:rPr>
        <w:t xml:space="preserve">分部:</w:t>
      </w:r>
      <w:r>
        <w:t xml:space="preserve"> Subscription </w:t>
      </w:r>
      <w:r>
        <w:rPr>
          <w:rFonts w:hint="eastAsia"/>
        </w:rPr>
        <w:t xml:space="preserve">订阅;</w:t>
      </w:r>
      <w:r>
        <w:t xml:space="preserve"> Professional services </w:t>
      </w:r>
      <w:r>
        <w:rPr>
          <w:rFonts w:hint="eastAsia"/>
        </w:rPr>
        <w:t xml:space="preserve">专业服务.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CRWD | 250.4 bn USD | 45.6x | 151.8x | 25.8% | 75.2% | 0.6% |</w:t>
      </w:r>
      <w:r>
        <w:t xml:space="preserve"> </w:t>
      </w:r>
      <w:r>
        <w:t xml:space="preserve">| PANW | 302.9 bn USD | 26.3x | 75.9x | 34.5% | 70.4% | 1.4% |</w:t>
      </w:r>
      <w:r>
        <w:t xml:space="preserve"> </w:t>
      </w:r>
      <w:r>
        <w:t xml:space="preserve">| ZS | 35.9 bn USD | 10.2x | 39.2x | 24.9% | 76.9% | 3.0% |</w:t>
      </w:r>
      <w:r>
        <w:t xml:space="preserve"> </w:t>
      </w:r>
      <w:r>
        <w:t xml:space="preserve">| S | 8.1 bn USD | 6.8x | 50.7x | 20.6% | 72.5% | 3.6% |</w:t>
      </w:r>
      <w:r>
        <w:t xml:space="preserve"> </w:t>
      </w:r>
      <w:r>
        <w:t xml:space="preserve">| PLTR | 481.8 bn USD | 76.8x | 85.3x | 92.8% | 84.8% | 0.4%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Pricing pressure from Microsoft bundling; outage-type reputational </w:t>
      </w:r>
      <w:r>
        <w:rPr>
          <w:rFonts w:hint="eastAsia"/>
        </w:rPr>
        <w:t xml:space="preserve">events｜微软捆绑压价；宕机类声誉事件</w:t>
      </w:r>
    </w:p>
    <w:p>
      <w:pPr>
        <w:pStyle w:val="Compact"/>
        <w:numPr>
          <w:ilvl w:val="0"/>
          <w:numId w:val="1006"/>
        </w:numPr>
      </w:pPr>
      <w:r>
        <w:rPr>
          <w:rFonts w:hint="eastAsia"/>
        </w:rPr>
        <w:t xml:space="preserve">证伪指标:</w:t>
      </w:r>
      <w:r>
        <w:t xml:space="preserve"> Net new ARR declines y/y; gross retention </w:t>
      </w:r>
      <w:r>
        <w:rPr>
          <w:rFonts w:hint="eastAsia"/>
        </w:rPr>
        <w:t xml:space="preserve">slips｜净新增ARR同比下降；毛留存下滑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244.6</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2.504e+11</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5.014e+09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8.202e+08</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5.396e+09</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1.523e+09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1.197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0.2484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0.2271</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0.2271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0.2822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0.32</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CRWD_model_v20261016-0756.xlsx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1077b927437199bdf9b843157ebde588d5dee3c"/>
    <w:p>
      <w:pPr>
        <w:pStyle w:val="Heading1"/>
      </w:pPr>
      <w:r>
        <w:t xml:space="preserve">CRWD CrowdStrike Holdings, Inc. — Equity Deep Dive (Professional English) v20261016-0756</w:t>
      </w:r>
    </w:p>
    <w:p>
      <w:pPr>
        <w:pStyle w:val="BlockText"/>
      </w:pPr>
      <w:r>
        <w:t xml:space="preserve">Data as of 2026-10-16 07:56 SGT | Price $244.57 | Mkt cap 250.4 bn USD | Reporting currency USD | Not investment advice.</w:t>
      </w:r>
    </w:p>
    <w:bookmarkStart w:id="39" w:name="investment-thesis-hypothesis"/>
    <w:p>
      <w:pPr>
        <w:pStyle w:val="Heading2"/>
      </w:pPr>
      <w:r>
        <w:t xml:space="preserve">1. Investment thesis (HYPOTHESIS)</w:t>
      </w:r>
    </w:p>
    <w:p>
      <w:pPr>
        <w:pStyle w:val="FirstParagraph"/>
      </w:pPr>
      <w:r>
        <w:t xml:space="preserve">CrowdStrike is a security-platform consolidator; Falcon Flex drives multi-module adoption, and AI agents create new identity/data-security demand.</w:t>
      </w:r>
    </w:p>
    <w:p>
      <w:pPr>
        <w:pStyle w:val="Compact"/>
        <w:numPr>
          <w:ilvl w:val="0"/>
          <w:numId w:val="1009"/>
        </w:numPr>
      </w:pPr>
      <w:r>
        <w:rPr>
          <w:b/>
          <w:bCs/>
        </w:rPr>
        <w:t xml:space="preserve">Bull drivers</w:t>
      </w:r>
      <w:r>
        <w:t xml:space="preserve">: Net new ARR reaccelerates; Flex converts; FCF margin </w:t>
      </w:r>
      <w:r>
        <w:rPr>
          <w:rFonts w:hint="eastAsia"/>
        </w:rPr>
        <w:t xml:space="preserve">&gt;30%｜净新增ARR再加速；Flex转化；FCF利润率&gt;30%</w:t>
      </w:r>
    </w:p>
    <w:p>
      <w:pPr>
        <w:pStyle w:val="Compact"/>
        <w:numPr>
          <w:ilvl w:val="0"/>
          <w:numId w:val="1009"/>
        </w:numPr>
      </w:pPr>
      <w:r>
        <w:rPr>
          <w:b/>
          <w:bCs/>
        </w:rPr>
        <w:t xml:space="preserve">Bear drivers</w:t>
      </w:r>
      <w:r>
        <w:t xml:space="preserve">: Pricing pressure from Microsoft bundling; outage-type reputational </w:t>
      </w:r>
      <w:r>
        <w:rPr>
          <w:rFonts w:hint="eastAsia"/>
        </w:rPr>
        <w:t xml:space="preserve">events｜微软捆绑压价；宕机类声誉事件</w:t>
      </w:r>
    </w:p>
    <w:p>
      <w:pPr>
        <w:pStyle w:val="Compact"/>
        <w:numPr>
          <w:ilvl w:val="0"/>
          <w:numId w:val="1009"/>
        </w:numPr>
      </w:pPr>
      <w:r>
        <w:rPr>
          <w:b/>
          <w:bCs/>
        </w:rPr>
        <w:t xml:space="preserve">Falsifiers</w:t>
      </w:r>
      <w:r>
        <w:t xml:space="preserve">: Net new ARR declines y/y; gross retention </w:t>
      </w:r>
      <w:r>
        <w:rPr>
          <w:rFonts w:hint="eastAsia"/>
        </w:rPr>
        <w:t xml:space="preserve">slips｜净新增ARR同比下降；毛留存下滑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Cybersecurity platform </w:t>
      </w:r>
      <w:r>
        <w:rPr>
          <w:rFonts w:hint="eastAsia"/>
        </w:rPr>
        <w:t xml:space="preserve">网络安全平台</w:t>
      </w:r>
      <w:r>
        <w:t xml:space="preserve"> | Segments: Subscription </w:t>
      </w:r>
      <w:r>
        <w:rPr>
          <w:rFonts w:hint="eastAsia"/>
        </w:rPr>
        <w:t xml:space="preserve">订阅;</w:t>
      </w:r>
      <w:r>
        <w:t xml:space="preserve"> Professional services </w:t>
      </w:r>
      <w:r>
        <w:rPr>
          <w:rFonts w:hint="eastAsia"/>
        </w:rPr>
        <w:t xml:space="preserve">专业服务</w:t>
      </w:r>
    </w:p>
    <w:p>
      <w:pPr>
        <w:pStyle w:val="Compact"/>
        <w:numPr>
          <w:ilvl w:val="0"/>
          <w:numId w:val="1010"/>
        </w:numPr>
      </w:pPr>
      <w:r>
        <w:t xml:space="preserve">Business description (DATA):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10"/>
        </w:numPr>
      </w:pPr>
      <w:r>
        <w:t xml:space="preserve">Customers: Enterprises, governments, SMB via </w:t>
      </w:r>
      <w:r>
        <w:rPr>
          <w:rFonts w:hint="eastAsia"/>
        </w:rPr>
        <w:t xml:space="preserve">MSSPs｜企业、政府、中小企业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infrastructure (AWS, </w:t>
      </w:r>
      <w:r>
        <w:rPr>
          <w:rFonts w:hint="eastAsia"/>
        </w:rPr>
        <w:t xml:space="preserve">GCP)｜云基础设施</w:t>
      </w:r>
    </w:p>
    <w:p>
      <w:pPr>
        <w:pStyle w:val="Compact"/>
        <w:numPr>
          <w:ilvl w:val="0"/>
          <w:numId w:val="1011"/>
        </w:numPr>
      </w:pPr>
      <w:r>
        <w:t xml:space="preserve">Competitors: Microsoft Defender, Palo Alto, SentinelOne, </w:t>
      </w:r>
      <w:r>
        <w:rPr>
          <w:rFonts w:hint="eastAsia"/>
        </w:rPr>
        <w:t xml:space="preserve">Zscaler｜微软、Palo</w:t>
      </w:r>
      <w:r>
        <w:t xml:space="preserve"> Alto、SentinelOne、Zscaler</w:t>
      </w:r>
    </w:p>
    <w:p>
      <w:pPr>
        <w:pStyle w:val="Compact"/>
        <w:numPr>
          <w:ilvl w:val="0"/>
          <w:numId w:val="1011"/>
        </w:numPr>
      </w:pPr>
      <w:r>
        <w:t xml:space="preserve">Bottlenecks/regulation: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11"/>
        </w:numPr>
      </w:pPr>
      <w:r>
        <w:t xml:space="preserve">KPIs: ARR, net new ARR, NRR/GRR, FCF </w:t>
      </w:r>
      <w:r>
        <w:rPr>
          <w:rFonts w:hint="eastAsia"/>
        </w:rPr>
        <w:t xml:space="preserve">margin｜ARR、净新增ARR、留存率、FCF利润率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t xml:space="preserve">Cash 5.0 bn USD; debt 0.8 bn USD; TTM FCF 1.5 bn USD (FCF margin 28.2%).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0.31146 (45 analysts); revenue consensus 1.5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$27.93</w:t>
            </w:r>
          </w:p>
        </w:tc>
        <w:tc>
          <w:tcPr/>
          <w:p>
            <w:pPr>
              <w:pStyle w:val="Compact"/>
            </w:pPr>
            <w:r>
              <w:t xml:space="preserve">-88.6%</w:t>
            </w:r>
          </w:p>
        </w:tc>
      </w:tr>
      <w:tr>
        <w:tc>
          <w:tcPr/>
          <w:p>
            <w:pPr>
              <w:pStyle w:val="Compact"/>
            </w:pPr>
            <w:r>
              <w:t xml:space="preserve">2Q</w:t>
            </w:r>
          </w:p>
        </w:tc>
        <w:tc>
          <w:tcPr/>
          <w:p>
            <w:pPr>
              <w:pStyle w:val="Compact"/>
            </w:pPr>
            <w:r>
              <w:t xml:space="preserve">Base</w:t>
            </w:r>
          </w:p>
        </w:tc>
        <w:tc>
          <w:tcPr/>
          <w:p>
            <w:pPr>
              <w:pStyle w:val="Compact"/>
            </w:pPr>
            <w:r>
              <w:t xml:space="preserve">$53.74</w:t>
            </w:r>
          </w:p>
        </w:tc>
        <w:tc>
          <w:tcPr/>
          <w:p>
            <w:pPr>
              <w:pStyle w:val="Compact"/>
            </w:pPr>
            <w:r>
              <w:t xml:space="preserve">-78.0%</w:t>
            </w:r>
          </w:p>
        </w:tc>
      </w:tr>
      <w:tr>
        <w:tc>
          <w:tcPr/>
          <w:p>
            <w:pPr>
              <w:pStyle w:val="Compact"/>
            </w:pPr>
            <w:r>
              <w:t xml:space="preserve">2Q</w:t>
            </w:r>
          </w:p>
        </w:tc>
        <w:tc>
          <w:tcPr/>
          <w:p>
            <w:pPr>
              <w:pStyle w:val="Compact"/>
            </w:pPr>
            <w:r>
              <w:t xml:space="preserve">Bull</w:t>
            </w:r>
          </w:p>
        </w:tc>
        <w:tc>
          <w:tcPr/>
          <w:p>
            <w:pPr>
              <w:pStyle w:val="Compact"/>
            </w:pPr>
            <w:r>
              <w:t xml:space="preserve">$83.47</w:t>
            </w:r>
          </w:p>
        </w:tc>
        <w:tc>
          <w:tcPr/>
          <w:p>
            <w:pPr>
              <w:pStyle w:val="Compact"/>
            </w:pPr>
            <w:r>
              <w:t xml:space="preserve">-65.9%</w:t>
            </w:r>
          </w:p>
        </w:tc>
      </w:tr>
      <w:tr>
        <w:tc>
          <w:tcPr/>
          <w:p>
            <w:pPr>
              <w:pStyle w:val="Compact"/>
            </w:pPr>
            <w:r>
              <w:t xml:space="preserve">4Q</w:t>
            </w:r>
          </w:p>
        </w:tc>
        <w:tc>
          <w:tcPr/>
          <w:p>
            <w:pPr>
              <w:pStyle w:val="Compact"/>
            </w:pPr>
            <w:r>
              <w:t xml:space="preserve">Bear</w:t>
            </w:r>
          </w:p>
        </w:tc>
        <w:tc>
          <w:tcPr/>
          <w:p>
            <w:pPr>
              <w:pStyle w:val="Compact"/>
            </w:pPr>
            <w:r>
              <w:t xml:space="preserve">$27.39</w:t>
            </w:r>
          </w:p>
        </w:tc>
        <w:tc>
          <w:tcPr/>
          <w:p>
            <w:pPr>
              <w:pStyle w:val="Compact"/>
            </w:pPr>
            <w:r>
              <w:t xml:space="preserve">-88.8%</w:t>
            </w:r>
          </w:p>
        </w:tc>
      </w:tr>
      <w:tr>
        <w:tc>
          <w:tcPr/>
          <w:p>
            <w:pPr>
              <w:pStyle w:val="Compact"/>
            </w:pPr>
            <w:r>
              <w:t xml:space="preserve">4Q</w:t>
            </w:r>
          </w:p>
        </w:tc>
        <w:tc>
          <w:tcPr/>
          <w:p>
            <w:pPr>
              <w:pStyle w:val="Compact"/>
            </w:pPr>
            <w:r>
              <w:t xml:space="preserve">Base</w:t>
            </w:r>
          </w:p>
        </w:tc>
        <w:tc>
          <w:tcPr/>
          <w:p>
            <w:pPr>
              <w:pStyle w:val="Compact"/>
            </w:pPr>
            <w:r>
              <w:t xml:space="preserve">$56.74</w:t>
            </w:r>
          </w:p>
        </w:tc>
        <w:tc>
          <w:tcPr/>
          <w:p>
            <w:pPr>
              <w:pStyle w:val="Compact"/>
            </w:pPr>
            <w:r>
              <w:t xml:space="preserve">-76.8%</w:t>
            </w:r>
          </w:p>
        </w:tc>
      </w:tr>
      <w:tr>
        <w:tc>
          <w:tcPr/>
          <w:p>
            <w:pPr>
              <w:pStyle w:val="Compact"/>
            </w:pPr>
            <w:r>
              <w:t xml:space="preserve">4Q</w:t>
            </w:r>
          </w:p>
        </w:tc>
        <w:tc>
          <w:tcPr/>
          <w:p>
            <w:pPr>
              <w:pStyle w:val="Compact"/>
            </w:pPr>
            <w:r>
              <w:t xml:space="preserve">Bull</w:t>
            </w:r>
          </w:p>
        </w:tc>
        <w:tc>
          <w:tcPr/>
          <w:p>
            <w:pPr>
              <w:pStyle w:val="Compact"/>
            </w:pPr>
            <w:r>
              <w:t xml:space="preserve">$92.19</w:t>
            </w:r>
          </w:p>
        </w:tc>
        <w:tc>
          <w:tcPr/>
          <w:p>
            <w:pPr>
              <w:pStyle w:val="Compact"/>
            </w:pPr>
            <w:r>
              <w:t xml:space="preserve">-62.3%</w:t>
            </w:r>
          </w:p>
        </w:tc>
      </w:tr>
      <w:tr>
        <w:tc>
          <w:tcPr/>
          <w:p>
            <w:pPr>
              <w:pStyle w:val="Compact"/>
            </w:pPr>
            <w:r>
              <w:t xml:space="preserve">6Q</w:t>
            </w:r>
          </w:p>
        </w:tc>
        <w:tc>
          <w:tcPr/>
          <w:p>
            <w:pPr>
              <w:pStyle w:val="Compact"/>
            </w:pPr>
            <w:r>
              <w:t xml:space="preserve">Bear</w:t>
            </w:r>
          </w:p>
        </w:tc>
        <w:tc>
          <w:tcPr/>
          <w:p>
            <w:pPr>
              <w:pStyle w:val="Compact"/>
            </w:pPr>
            <w:r>
              <w:t xml:space="preserve">$26.87</w:t>
            </w:r>
          </w:p>
        </w:tc>
        <w:tc>
          <w:tcPr/>
          <w:p>
            <w:pPr>
              <w:pStyle w:val="Compact"/>
            </w:pPr>
            <w:r>
              <w:t xml:space="preserve">-89.0%</w:t>
            </w:r>
          </w:p>
        </w:tc>
      </w:tr>
      <w:tr>
        <w:tc>
          <w:tcPr/>
          <w:p>
            <w:pPr>
              <w:pStyle w:val="Compact"/>
            </w:pPr>
            <w:r>
              <w:t xml:space="preserve">6Q</w:t>
            </w:r>
          </w:p>
        </w:tc>
        <w:tc>
          <w:tcPr/>
          <w:p>
            <w:pPr>
              <w:pStyle w:val="Compact"/>
            </w:pPr>
            <w:r>
              <w:t xml:space="preserve">Base</w:t>
            </w:r>
          </w:p>
        </w:tc>
        <w:tc>
          <w:tcPr/>
          <w:p>
            <w:pPr>
              <w:pStyle w:val="Compact"/>
            </w:pPr>
            <w:r>
              <w:t xml:space="preserve">$59.94</w:t>
            </w:r>
          </w:p>
        </w:tc>
        <w:tc>
          <w:tcPr/>
          <w:p>
            <w:pPr>
              <w:pStyle w:val="Compact"/>
            </w:pPr>
            <w:r>
              <w:t xml:space="preserve">-75.5%</w:t>
            </w:r>
          </w:p>
        </w:tc>
      </w:tr>
      <w:tr>
        <w:tc>
          <w:tcPr/>
          <w:p>
            <w:pPr>
              <w:pStyle w:val="Compact"/>
            </w:pPr>
            <w:r>
              <w:t xml:space="preserve">6Q</w:t>
            </w:r>
          </w:p>
        </w:tc>
        <w:tc>
          <w:tcPr/>
          <w:p>
            <w:pPr>
              <w:pStyle w:val="Compact"/>
            </w:pPr>
            <w:r>
              <w:t xml:space="preserve">Bull</w:t>
            </w:r>
          </w:p>
        </w:tc>
        <w:tc>
          <w:tcPr/>
          <w:p>
            <w:pPr>
              <w:pStyle w:val="Compact"/>
            </w:pPr>
            <w:r>
              <w:t xml:space="preserve">$101.84</w:t>
            </w:r>
          </w:p>
        </w:tc>
        <w:tc>
          <w:tcPr/>
          <w:p>
            <w:pPr>
              <w:pStyle w:val="Compact"/>
            </w:pPr>
            <w:r>
              <w:t xml:space="preserve">-58.4%</w:t>
            </w:r>
          </w:p>
        </w:tc>
      </w:tr>
      <w:tr>
        <w:tc>
          <w:tcPr/>
          <w:p>
            <w:pPr>
              <w:pStyle w:val="Compact"/>
            </w:pPr>
            <w:r>
              <w:t xml:space="preserve">8Q</w:t>
            </w:r>
          </w:p>
        </w:tc>
        <w:tc>
          <w:tcPr/>
          <w:p>
            <w:pPr>
              <w:pStyle w:val="Compact"/>
            </w:pPr>
            <w:r>
              <w:t xml:space="preserve">Bear</w:t>
            </w:r>
          </w:p>
        </w:tc>
        <w:tc>
          <w:tcPr/>
          <w:p>
            <w:pPr>
              <w:pStyle w:val="Compact"/>
            </w:pPr>
            <w:r>
              <w:t xml:space="preserve">$26.37</w:t>
            </w:r>
          </w:p>
        </w:tc>
        <w:tc>
          <w:tcPr/>
          <w:p>
            <w:pPr>
              <w:pStyle w:val="Compact"/>
            </w:pPr>
            <w:r>
              <w:t xml:space="preserve">-89.2%</w:t>
            </w:r>
          </w:p>
        </w:tc>
      </w:tr>
      <w:tr>
        <w:tc>
          <w:tcPr/>
          <w:p>
            <w:pPr>
              <w:pStyle w:val="Compact"/>
            </w:pPr>
            <w:r>
              <w:t xml:space="preserve">8Q</w:t>
            </w:r>
          </w:p>
        </w:tc>
        <w:tc>
          <w:tcPr/>
          <w:p>
            <w:pPr>
              <w:pStyle w:val="Compact"/>
            </w:pPr>
            <w:r>
              <w:t xml:space="preserve">Base</w:t>
            </w:r>
          </w:p>
        </w:tc>
        <w:tc>
          <w:tcPr/>
          <w:p>
            <w:pPr>
              <w:pStyle w:val="Compact"/>
            </w:pPr>
            <w:r>
              <w:t xml:space="preserve">$63.36</w:t>
            </w:r>
          </w:p>
        </w:tc>
        <w:tc>
          <w:tcPr/>
          <w:p>
            <w:pPr>
              <w:pStyle w:val="Compact"/>
            </w:pPr>
            <w:r>
              <w:t xml:space="preserve">-74.1%</w:t>
            </w:r>
          </w:p>
        </w:tc>
      </w:tr>
      <w:tr>
        <w:tc>
          <w:tcPr/>
          <w:p>
            <w:pPr>
              <w:pStyle w:val="Compact"/>
            </w:pPr>
            <w:r>
              <w:t xml:space="preserve">8Q</w:t>
            </w:r>
          </w:p>
        </w:tc>
        <w:tc>
          <w:tcPr/>
          <w:p>
            <w:pPr>
              <w:pStyle w:val="Compact"/>
            </w:pPr>
            <w:r>
              <w:t xml:space="preserve">Bull</w:t>
            </w:r>
          </w:p>
        </w:tc>
        <w:tc>
          <w:tcPr/>
          <w:p>
            <w:pPr>
              <w:pStyle w:val="Compact"/>
            </w:pPr>
            <w:r>
              <w:t xml:space="preserve">$112.52</w:t>
            </w:r>
          </w:p>
        </w:tc>
        <w:tc>
          <w:tcPr/>
          <w:p>
            <w:pPr>
              <w:pStyle w:val="Compact"/>
            </w:pPr>
            <w:r>
              <w:t xml:space="preserve">-54.0%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114.4x</w:t>
            </w:r>
          </w:p>
        </w:tc>
      </w:tr>
      <w:tr>
        <w:tc>
          <w:tcPr/>
          <w:p>
            <w:pPr>
              <w:pStyle w:val="Compact"/>
            </w:pPr>
            <w:r>
              <w:t xml:space="preserve">4Q</w:t>
            </w:r>
          </w:p>
        </w:tc>
        <w:tc>
          <w:tcPr/>
          <w:p>
            <w:pPr>
              <w:pStyle w:val="Compact"/>
            </w:pPr>
            <w:r>
              <w:t xml:space="preserve">101.9x</w:t>
            </w:r>
          </w:p>
        </w:tc>
      </w:tr>
      <w:tr>
        <w:tc>
          <w:tcPr/>
          <w:p>
            <w:pPr>
              <w:pStyle w:val="Compact"/>
            </w:pPr>
            <w:r>
              <w:t xml:space="preserve">6Q</w:t>
            </w:r>
          </w:p>
        </w:tc>
        <w:tc>
          <w:tcPr/>
          <w:p>
            <w:pPr>
              <w:pStyle w:val="Compact"/>
            </w:pPr>
            <w:r>
              <w:t xml:space="preserve">90.9x</w:t>
            </w:r>
          </w:p>
        </w:tc>
      </w:tr>
      <w:tr>
        <w:tc>
          <w:tcPr/>
          <w:p>
            <w:pPr>
              <w:pStyle w:val="Compact"/>
            </w:pPr>
            <w:r>
              <w:t xml:space="preserve">8Q</w:t>
            </w:r>
          </w:p>
        </w:tc>
        <w:tc>
          <w:tcPr/>
          <w:p>
            <w:pPr>
              <w:pStyle w:val="Compact"/>
            </w:pPr>
            <w:r>
              <w:t xml:space="preserve">81.0x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11.4%</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$24.48</w:t>
            </w:r>
          </w:p>
        </w:tc>
        <w:tc>
          <w:tcPr/>
          <w:p>
            <w:pPr>
              <w:pStyle w:val="Compact"/>
            </w:pPr>
            <w:r>
              <w:t xml:space="preserve">-90.0%</w:t>
            </w:r>
          </w:p>
        </w:tc>
      </w:tr>
      <w:tr>
        <w:tc>
          <w:tcPr/>
          <w:p>
            <w:pPr>
              <w:pStyle w:val="Compact"/>
            </w:pPr>
            <w:r>
              <w:t xml:space="preserve">Base</w:t>
            </w:r>
          </w:p>
        </w:tc>
        <w:tc>
          <w:tcPr/>
          <w:p>
            <w:pPr>
              <w:pStyle w:val="Compact"/>
            </w:pPr>
            <w:r>
              <w:t xml:space="preserve">22.7%</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$49.30</w:t>
            </w:r>
          </w:p>
        </w:tc>
        <w:tc>
          <w:tcPr/>
          <w:p>
            <w:pPr>
              <w:pStyle w:val="Compact"/>
            </w:pPr>
            <w:r>
              <w:t xml:space="preserve">-79.8%</w:t>
            </w:r>
          </w:p>
        </w:tc>
      </w:tr>
      <w:tr>
        <w:tc>
          <w:tcPr/>
          <w:p>
            <w:pPr>
              <w:pStyle w:val="Compact"/>
            </w:pPr>
            <w:r>
              <w:t xml:space="preserve">Bull</w:t>
            </w:r>
          </w:p>
        </w:tc>
        <w:tc>
          <w:tcPr/>
          <w:p>
            <w:pPr>
              <w:pStyle w:val="Compact"/>
            </w:pPr>
            <w:r>
              <w:t xml:space="preserve">29.5%</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$79.93</w:t>
            </w:r>
          </w:p>
        </w:tc>
        <w:tc>
          <w:tcPr/>
          <w:p>
            <w:pPr>
              <w:pStyle w:val="Compact"/>
            </w:pPr>
            <w:r>
              <w:t xml:space="preserve">-67.3%</w:t>
            </w:r>
          </w:p>
        </w:tc>
      </w:tr>
    </w:tbl>
    <w:p>
      <w:pPr>
        <w:pStyle w:val="BodyText"/>
      </w:pPr>
      <w:r>
        <w:t xml:space="preserve">Probability-weighted value</w:t>
      </w:r>
      <w:r>
        <w:t xml:space="preserve"> </w:t>
      </w:r>
      <w:r>
        <w:rPr>
          <w:b/>
          <w:bCs/>
        </w:rPr>
        <w:t xml:space="preserve">$50.75</w:t>
      </w:r>
      <w:r>
        <w:t xml:space="preserve"> </w:t>
      </w:r>
      <w:r>
        <w:t xml:space="preserve">(-79.2%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46.3 bn USD; terminal share 53.8%.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71.2%</w:t>
      </w:r>
      <w:r>
        <w:t xml:space="preserve"> </w:t>
      </w:r>
      <w:r>
        <w:t xml:space="preserve">vs consensus FY+1 22.7%.</w:t>
      </w:r>
    </w:p>
    <w:p>
      <w:pPr>
        <w:pStyle w:val="Compact"/>
        <w:numPr>
          <w:ilvl w:val="0"/>
          <w:numId w:val="1013"/>
        </w:numPr>
      </w:pPr>
      <w:r>
        <w:t xml:space="preserve">WACC (CAPM) = rf 5.2% + β 1.20 × ERP 5.0% = 11.2%.</w:t>
      </w:r>
    </w:p>
    <w:p>
      <w:pPr>
        <w:pStyle w:val="Compact"/>
        <w:numPr>
          <w:ilvl w:val="0"/>
          <w:numId w:val="1013"/>
        </w:numPr>
      </w:pPr>
      <w:r>
        <w:t xml:space="preserve">SOTP segments: Subscription </w:t>
      </w:r>
      <w:r>
        <w:rPr>
          <w:rFonts w:hint="eastAsia"/>
        </w:rPr>
        <w:t xml:space="preserve">订阅;</w:t>
      </w:r>
      <w:r>
        <w:t xml:space="preserve"> Professional services </w:t>
      </w:r>
      <w:r>
        <w:rPr>
          <w:rFonts w:hint="eastAsia"/>
        </w:rPr>
        <w:t xml:space="preserve">专业服务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Pricing pressure from Microsoft bundling; outage-type reputational </w:t>
      </w:r>
      <w:r>
        <w:rPr>
          <w:rFonts w:hint="eastAsia"/>
        </w:rPr>
        <w:t xml:space="preserve">events｜微软捆绑压价；宕机类声誉事件</w:t>
      </w:r>
      <w:r>
        <w:t xml:space="preserve"> | Falsifiers: Net new ARR declines y/y; gross retention </w:t>
      </w:r>
      <w:r>
        <w:rPr>
          <w:rFonts w:hint="eastAsia"/>
        </w:rPr>
        <w:t xml:space="preserve">slips｜净新增ARR同比下降；毛留存下滑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CRWD_model_v20261016-0756.xlsx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2026-10-15T23:58:45Z</dcterms:created>
  <dcterms:modified xsi:type="dcterms:W3CDTF">2026-10-15T23:58:45Z</dcterms:modified>
</cp:coreProperties>
</file>

<file path=docProps/custom.xml><?xml version="1.0" encoding="utf-8"?>
<Properties xmlns="http://schemas.openxmlformats.org/officeDocument/2006/custom-properties" xmlns:vt="http://schemas.openxmlformats.org/officeDocument/2006/docPropsVTypes"/>
</file>