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a391dc2cfb8c8fa126ddd4bd1da38cc0e356a5"/>
    <w:p>
      <w:pPr>
        <w:pStyle w:val="Heading1"/>
      </w:pPr>
      <w:r>
        <w:t xml:space="preserve">CRWV CoreWeave,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$69.69｜市值</w:t>
      </w:r>
      <w:r>
        <w:t xml:space="preserve"> 38.4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CoreWeave以高杠杆换取AI算力租赁的高速增长；核心是积压订单(backlog)转化率、融资成本与GPU经济寿命。FCF深度为负属于商业模式特征。</w:t>
      </w:r>
    </w:p>
    <w:p>
      <w:pPr>
        <w:pStyle w:val="Compact"/>
        <w:numPr>
          <w:ilvl w:val="0"/>
          <w:numId w:val="1001"/>
        </w:numPr>
      </w:pPr>
      <w:r>
        <w:rPr>
          <w:rFonts w:hint="eastAsia"/>
          <w:b/>
          <w:bCs/>
        </w:rPr>
        <w:t xml:space="preserve">多头驱动</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1"/>
        </w:numPr>
      </w:pPr>
      <w:r>
        <w:rPr>
          <w:rFonts w:hint="eastAsia"/>
          <w:b/>
          <w:bCs/>
        </w:rPr>
        <w:t xml:space="preserve">空头驱动</w:t>
      </w:r>
      <w:r>
        <w:t xml:space="preserve">: Delays in data-center delivery, refinancing stress, GPU price </w:t>
      </w:r>
      <w:r>
        <w:rPr>
          <w:rFonts w:hint="eastAsia"/>
        </w:rPr>
        <w:t xml:space="preserve">deflation｜交付延期、再融资压力、GPU租赁价格通缩</w:t>
      </w:r>
    </w:p>
    <w:p>
      <w:pPr>
        <w:pStyle w:val="Compact"/>
        <w:numPr>
          <w:ilvl w:val="0"/>
          <w:numId w:val="1001"/>
        </w:numPr>
      </w:pPr>
      <w:r>
        <w:rPr>
          <w:rFonts w:hint="eastAsia"/>
          <w:b/>
          <w:bCs/>
        </w:rPr>
        <w:t xml:space="preserve">证伪条件</w:t>
      </w:r>
      <w:r>
        <w:rPr>
          <w:b/>
          <w:bCs/>
        </w:rPr>
        <w:t xml:space="preserve"> 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neocloud GPU cloud </w:t>
      </w:r>
      <w:r>
        <w:rPr>
          <w:rFonts w:hint="eastAsia"/>
        </w:rPr>
        <w:t xml:space="preserve">AI新云</w:t>
      </w:r>
    </w:p>
    <w:p>
      <w:pPr>
        <w:pStyle w:val="Compact"/>
        <w:numPr>
          <w:ilvl w:val="0"/>
          <w:numId w:val="1002"/>
        </w:numPr>
      </w:pPr>
      <w:r>
        <w:rPr>
          <w:rFonts w:hint="eastAsia"/>
        </w:rPr>
        <w:t xml:space="preserve">业务分部</w:t>
      </w:r>
      <w:r>
        <w:t xml:space="preserve"> Segments: GPU cloud services </w:t>
      </w:r>
      <w:r>
        <w:rPr>
          <w:rFonts w:hint="eastAsia"/>
        </w:rPr>
        <w:t xml:space="preserve">GPU云服务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02"/>
        </w:numPr>
      </w:pPr>
      <w:r>
        <w:rPr>
          <w:rFonts w:hint="eastAsia"/>
        </w:rPr>
        <w:t xml:space="preserve">主要客户:</w:t>
      </w:r>
      <w:r>
        <w:t xml:space="preserve"> Microsoft, OpenAI, Meta, Google, AI </w:t>
      </w:r>
      <w:r>
        <w:rPr>
          <w:rFonts w:hint="eastAsia"/>
        </w:rPr>
        <w:t xml:space="preserve">labs｜微软、OpenAI、Meta、谷歌、AI实验室</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NVDA (GPUs), Dell/SMCI (servers), data-center landlords (Core Scientific, Galaxy), </w:t>
      </w:r>
      <w:r>
        <w:rPr>
          <w:rFonts w:hint="eastAsia"/>
        </w:rPr>
        <w:t xml:space="preserve">lenders｜NVDA、服务器厂、数据中心房东、贷款方</w:t>
      </w:r>
    </w:p>
    <w:p>
      <w:pPr>
        <w:pStyle w:val="Compact"/>
        <w:numPr>
          <w:ilvl w:val="0"/>
          <w:numId w:val="1003"/>
        </w:numPr>
      </w:pPr>
      <w:r>
        <w:rPr>
          <w:rFonts w:hint="eastAsia"/>
        </w:rPr>
        <w:t xml:space="preserve">竞争者</w:t>
      </w:r>
      <w:r>
        <w:t xml:space="preserve"> </w:t>
      </w:r>
      <w:r>
        <w:rPr>
          <w:rFonts w:hint="eastAsia"/>
        </w:rPr>
        <w:t xml:space="preserve">(含业外):</w:t>
      </w:r>
      <w:r>
        <w:t xml:space="preserve"> Hyperscalers, Nebius, Lambda, Oracle </w:t>
      </w:r>
      <w:r>
        <w:rPr>
          <w:rFonts w:hint="eastAsia"/>
        </w:rPr>
        <w:t xml:space="preserve">OCI｜云厂、Nebius、Lambda、甲骨文</w:t>
      </w:r>
    </w:p>
    <w:p>
      <w:pPr>
        <w:pStyle w:val="Compact"/>
        <w:numPr>
          <w:ilvl w:val="0"/>
          <w:numId w:val="1003"/>
        </w:numPr>
      </w:pPr>
      <w:r>
        <w:rPr>
          <w:rFonts w:hint="eastAsia"/>
        </w:rPr>
        <w:t xml:space="preserve">瓶颈/监管:</w:t>
      </w:r>
      <w:r>
        <w:t xml:space="preserve"> Powered shell availability, debt financing cost, GPU depreciation </w:t>
      </w:r>
      <w:r>
        <w:rPr>
          <w:rFonts w:hint="eastAsia"/>
        </w:rPr>
        <w:t xml:space="preserve">life｜带电机房、债务融资成本、GPU折旧年限</w:t>
      </w:r>
    </w:p>
    <w:p>
      <w:pPr>
        <w:pStyle w:val="Compact"/>
        <w:numPr>
          <w:ilvl w:val="0"/>
          <w:numId w:val="1003"/>
        </w:numPr>
      </w:pPr>
      <w:r>
        <w:rPr>
          <w:rFonts w:hint="eastAsia"/>
        </w:rPr>
        <w:t xml:space="preserve">关键KPI:</w:t>
      </w:r>
      <w:r>
        <w:t xml:space="preserve"> Backlog/RPO, active MW, contracted MW, interest expense, </w:t>
      </w:r>
      <w:r>
        <w:rPr>
          <w:rFonts w:hint="eastAsia"/>
        </w:rPr>
        <w:t xml:space="preserve">capex｜积压订单、在运营MW、签约MW、利息费用、Capex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5.5 bn </w:t>
      </w:r>
      <w:r>
        <w:rPr>
          <w:rFonts w:hint="eastAsia"/>
        </w:rPr>
        <w:t xml:space="preserve">USD；总负债</w:t>
      </w:r>
      <w:r>
        <w:t xml:space="preserve"> 51.6 bn </w:t>
      </w:r>
      <w:r>
        <w:rPr>
          <w:rFonts w:hint="eastAsia"/>
        </w:rPr>
        <w:t xml:space="preserve">USD；净现金</w:t>
      </w:r>
      <w:r>
        <w:t xml:space="preserve"> -46.1 bn USD。TTM FCF -13.7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2026-11-12</w:t>
      </w:r>
      <w:r>
        <w:rPr>
          <w:rFonts w:hint="eastAsia"/>
        </w:rPr>
        <w:t xml:space="preserve">；本季EPS一致预期</w:t>
      </w:r>
      <w:r>
        <w:t xml:space="preserve"> </w:t>
      </w:r>
      <w:r>
        <w:rPr>
          <w:rFonts w:hint="eastAsia"/>
        </w:rPr>
        <w:t xml:space="preserve">-1.53086（18位分析师）；收入一致预期</w:t>
      </w:r>
      <w:r>
        <w:t xml:space="preserve"> 3.5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$-190.87</w:t>
            </w:r>
          </w:p>
        </w:tc>
        <w:tc>
          <w:tcPr/>
          <w:p>
            <w:pPr>
              <w:pStyle w:val="Compact"/>
            </w:pPr>
            <w:r>
              <w:t xml:space="preserve">-373.9%</w:t>
            </w:r>
          </w:p>
        </w:tc>
      </w:tr>
      <w:tr>
        <w:tc>
          <w:tcPr/>
          <w:p>
            <w:pPr>
              <w:pStyle w:val="Compact"/>
            </w:pPr>
            <w:r>
              <w:t xml:space="preserve">2Q</w:t>
            </w:r>
          </w:p>
        </w:tc>
        <w:tc>
          <w:tcPr/>
          <w:p>
            <w:pPr>
              <w:pStyle w:val="Compact"/>
            </w:pPr>
            <w:r>
              <w:t xml:space="preserve">Base</w:t>
            </w:r>
          </w:p>
        </w:tc>
        <w:tc>
          <w:tcPr/>
          <w:p>
            <w:pPr>
              <w:pStyle w:val="Compact"/>
            </w:pPr>
            <w:r>
              <w:t xml:space="preserve">$-359.88</w:t>
            </w:r>
          </w:p>
        </w:tc>
        <w:tc>
          <w:tcPr/>
          <w:p>
            <w:pPr>
              <w:pStyle w:val="Compact"/>
            </w:pPr>
            <w:r>
              <w:t xml:space="preserve">-616.4%</w:t>
            </w:r>
          </w:p>
        </w:tc>
      </w:tr>
      <w:tr>
        <w:tc>
          <w:tcPr/>
          <w:p>
            <w:pPr>
              <w:pStyle w:val="Compact"/>
            </w:pPr>
            <w:r>
              <w:t xml:space="preserve">2Q</w:t>
            </w:r>
          </w:p>
        </w:tc>
        <w:tc>
          <w:tcPr/>
          <w:p>
            <w:pPr>
              <w:pStyle w:val="Compact"/>
            </w:pPr>
            <w:r>
              <w:t xml:space="preserve">Bull</w:t>
            </w:r>
          </w:p>
        </w:tc>
        <w:tc>
          <w:tcPr/>
          <w:p>
            <w:pPr>
              <w:pStyle w:val="Compact"/>
            </w:pPr>
            <w:r>
              <w:t xml:space="preserve">$-554.42</w:t>
            </w:r>
          </w:p>
        </w:tc>
        <w:tc>
          <w:tcPr/>
          <w:p>
            <w:pPr>
              <w:pStyle w:val="Compact"/>
            </w:pPr>
            <w:r>
              <w:t xml:space="preserve">-895.6%</w:t>
            </w:r>
          </w:p>
        </w:tc>
      </w:tr>
      <w:tr>
        <w:tc>
          <w:tcPr/>
          <w:p>
            <w:pPr>
              <w:pStyle w:val="Compact"/>
            </w:pPr>
            <w:r>
              <w:t xml:space="preserve">4Q</w:t>
            </w:r>
          </w:p>
        </w:tc>
        <w:tc>
          <w:tcPr/>
          <w:p>
            <w:pPr>
              <w:pStyle w:val="Compact"/>
            </w:pPr>
            <w:r>
              <w:t xml:space="preserve">Bear</w:t>
            </w:r>
          </w:p>
        </w:tc>
        <w:tc>
          <w:tcPr/>
          <w:p>
            <w:pPr>
              <w:pStyle w:val="Compact"/>
            </w:pPr>
            <w:r>
              <w:t xml:space="preserve">$-177.99</w:t>
            </w:r>
          </w:p>
        </w:tc>
        <w:tc>
          <w:tcPr/>
          <w:p>
            <w:pPr>
              <w:pStyle w:val="Compact"/>
            </w:pPr>
            <w:r>
              <w:t xml:space="preserve">-355.4%</w:t>
            </w:r>
          </w:p>
        </w:tc>
      </w:tr>
      <w:tr>
        <w:tc>
          <w:tcPr/>
          <w:p>
            <w:pPr>
              <w:pStyle w:val="Compact"/>
            </w:pPr>
            <w:r>
              <w:t xml:space="preserve">4Q</w:t>
            </w:r>
          </w:p>
        </w:tc>
        <w:tc>
          <w:tcPr/>
          <w:p>
            <w:pPr>
              <w:pStyle w:val="Compact"/>
            </w:pPr>
            <w:r>
              <w:t xml:space="preserve">Base</w:t>
            </w:r>
          </w:p>
        </w:tc>
        <w:tc>
          <w:tcPr/>
          <w:p>
            <w:pPr>
              <w:pStyle w:val="Compact"/>
            </w:pPr>
            <w:r>
              <w:t xml:space="preserve">$-370.50</w:t>
            </w:r>
          </w:p>
        </w:tc>
        <w:tc>
          <w:tcPr/>
          <w:p>
            <w:pPr>
              <w:pStyle w:val="Compact"/>
            </w:pPr>
            <w:r>
              <w:t xml:space="preserve">-631.6%</w:t>
            </w:r>
          </w:p>
        </w:tc>
      </w:tr>
      <w:tr>
        <w:tc>
          <w:tcPr/>
          <w:p>
            <w:pPr>
              <w:pStyle w:val="Compact"/>
            </w:pPr>
            <w:r>
              <w:t xml:space="preserve">4Q</w:t>
            </w:r>
          </w:p>
        </w:tc>
        <w:tc>
          <w:tcPr/>
          <w:p>
            <w:pPr>
              <w:pStyle w:val="Compact"/>
            </w:pPr>
            <w:r>
              <w:t xml:space="preserve">Bull</w:t>
            </w:r>
          </w:p>
        </w:tc>
        <w:tc>
          <w:tcPr/>
          <w:p>
            <w:pPr>
              <w:pStyle w:val="Compact"/>
            </w:pPr>
            <w:r>
              <w:t xml:space="preserve">$-604.47</w:t>
            </w:r>
          </w:p>
        </w:tc>
        <w:tc>
          <w:tcPr/>
          <w:p>
            <w:pPr>
              <w:pStyle w:val="Compact"/>
            </w:pPr>
            <w:r>
              <w:t xml:space="preserve">-967.4%</w:t>
            </w:r>
          </w:p>
        </w:tc>
      </w:tr>
      <w:tr>
        <w:tc>
          <w:tcPr/>
          <w:p>
            <w:pPr>
              <w:pStyle w:val="Compact"/>
            </w:pPr>
            <w:r>
              <w:t xml:space="preserve">6Q</w:t>
            </w:r>
          </w:p>
        </w:tc>
        <w:tc>
          <w:tcPr/>
          <w:p>
            <w:pPr>
              <w:pStyle w:val="Compact"/>
            </w:pPr>
            <w:r>
              <w:t xml:space="preserve">Bear</w:t>
            </w:r>
          </w:p>
        </w:tc>
        <w:tc>
          <w:tcPr/>
          <w:p>
            <w:pPr>
              <w:pStyle w:val="Compact"/>
            </w:pPr>
            <w:r>
              <w:t xml:space="preserve">$-160.18</w:t>
            </w:r>
          </w:p>
        </w:tc>
        <w:tc>
          <w:tcPr/>
          <w:p>
            <w:pPr>
              <w:pStyle w:val="Compact"/>
            </w:pPr>
            <w:r>
              <w:t xml:space="preserve">-329.8%</w:t>
            </w:r>
          </w:p>
        </w:tc>
      </w:tr>
      <w:tr>
        <w:tc>
          <w:tcPr/>
          <w:p>
            <w:pPr>
              <w:pStyle w:val="Compact"/>
            </w:pPr>
            <w:r>
              <w:t xml:space="preserve">6Q</w:t>
            </w:r>
          </w:p>
        </w:tc>
        <w:tc>
          <w:tcPr/>
          <w:p>
            <w:pPr>
              <w:pStyle w:val="Compact"/>
            </w:pPr>
            <w:r>
              <w:t xml:space="preserve">Base</w:t>
            </w:r>
          </w:p>
        </w:tc>
        <w:tc>
          <w:tcPr/>
          <w:p>
            <w:pPr>
              <w:pStyle w:val="Compact"/>
            </w:pPr>
            <w:r>
              <w:t xml:space="preserve">$-359.31</w:t>
            </w:r>
          </w:p>
        </w:tc>
        <w:tc>
          <w:tcPr/>
          <w:p>
            <w:pPr>
              <w:pStyle w:val="Compact"/>
            </w:pPr>
            <w:r>
              <w:t xml:space="preserve">-615.6%</w:t>
            </w:r>
          </w:p>
        </w:tc>
      </w:tr>
      <w:tr>
        <w:tc>
          <w:tcPr/>
          <w:p>
            <w:pPr>
              <w:pStyle w:val="Compact"/>
            </w:pPr>
            <w:r>
              <w:t xml:space="preserve">6Q</w:t>
            </w:r>
          </w:p>
        </w:tc>
        <w:tc>
          <w:tcPr/>
          <w:p>
            <w:pPr>
              <w:pStyle w:val="Compact"/>
            </w:pPr>
            <w:r>
              <w:t xml:space="preserve">Bull</w:t>
            </w:r>
          </w:p>
        </w:tc>
        <w:tc>
          <w:tcPr/>
          <w:p>
            <w:pPr>
              <w:pStyle w:val="Compact"/>
            </w:pPr>
            <w:r>
              <w:t xml:space="preserve">$-610.93</w:t>
            </w:r>
          </w:p>
        </w:tc>
        <w:tc>
          <w:tcPr/>
          <w:p>
            <w:pPr>
              <w:pStyle w:val="Compact"/>
            </w:pPr>
            <w:r>
              <w:t xml:space="preserve">-976.6%</w:t>
            </w:r>
          </w:p>
        </w:tc>
      </w:tr>
      <w:tr>
        <w:tc>
          <w:tcPr/>
          <w:p>
            <w:pPr>
              <w:pStyle w:val="Compact"/>
            </w:pPr>
            <w:r>
              <w:t xml:space="preserve">8Q</w:t>
            </w:r>
          </w:p>
        </w:tc>
        <w:tc>
          <w:tcPr/>
          <w:p>
            <w:pPr>
              <w:pStyle w:val="Compact"/>
            </w:pPr>
            <w:r>
              <w:t xml:space="preserve">Bear</w:t>
            </w:r>
          </w:p>
        </w:tc>
        <w:tc>
          <w:tcPr/>
          <w:p>
            <w:pPr>
              <w:pStyle w:val="Compact"/>
            </w:pPr>
            <w:r>
              <w:t xml:space="preserve">$-136.00</w:t>
            </w:r>
          </w:p>
        </w:tc>
        <w:tc>
          <w:tcPr/>
          <w:p>
            <w:pPr>
              <w:pStyle w:val="Compact"/>
            </w:pPr>
            <w:r>
              <w:t xml:space="preserve">-295.2%</w:t>
            </w:r>
          </w:p>
        </w:tc>
      </w:tr>
      <w:tr>
        <w:tc>
          <w:tcPr/>
          <w:p>
            <w:pPr>
              <w:pStyle w:val="Compact"/>
            </w:pPr>
            <w:r>
              <w:t xml:space="preserve">8Q</w:t>
            </w:r>
          </w:p>
        </w:tc>
        <w:tc>
          <w:tcPr/>
          <w:p>
            <w:pPr>
              <w:pStyle w:val="Compact"/>
            </w:pPr>
            <w:r>
              <w:t xml:space="preserve">Base</w:t>
            </w:r>
          </w:p>
        </w:tc>
        <w:tc>
          <w:tcPr/>
          <w:p>
            <w:pPr>
              <w:pStyle w:val="Compact"/>
            </w:pPr>
            <w:r>
              <w:t xml:space="preserve">$-309.66</w:t>
            </w:r>
          </w:p>
        </w:tc>
        <w:tc>
          <w:tcPr/>
          <w:p>
            <w:pPr>
              <w:pStyle w:val="Compact"/>
            </w:pPr>
            <w:r>
              <w:t xml:space="preserve">-544.3%</w:t>
            </w:r>
          </w:p>
        </w:tc>
      </w:tr>
      <w:tr>
        <w:tc>
          <w:tcPr/>
          <w:p>
            <w:pPr>
              <w:pStyle w:val="Compact"/>
            </w:pPr>
            <w:r>
              <w:t xml:space="preserve">8Q</w:t>
            </w:r>
          </w:p>
        </w:tc>
        <w:tc>
          <w:tcPr/>
          <w:p>
            <w:pPr>
              <w:pStyle w:val="Compact"/>
            </w:pPr>
            <w:r>
              <w:t xml:space="preserve">Bull</w:t>
            </w:r>
          </w:p>
        </w:tc>
        <w:tc>
          <w:tcPr/>
          <w:p>
            <w:pPr>
              <w:pStyle w:val="Compact"/>
            </w:pPr>
            <w:r>
              <w:t xml:space="preserve">$-524.99</w:t>
            </w:r>
          </w:p>
        </w:tc>
        <w:tc>
          <w:tcPr/>
          <w:p>
            <w:pPr>
              <w:pStyle w:val="Compact"/>
            </w:pPr>
            <w:r>
              <w:t xml:space="preserve">-853.3%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$-21.13</w:t>
            </w:r>
          </w:p>
        </w:tc>
        <w:tc>
          <w:tcPr/>
          <w:p>
            <w:pPr>
              <w:pStyle w:val="Compact"/>
            </w:pPr>
            <w:r>
              <w:t xml:space="preserve">-130.3%</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$499.71</w:t>
            </w:r>
          </w:p>
        </w:tc>
        <w:tc>
          <w:tcPr/>
          <w:p>
            <w:pPr>
              <w:pStyle w:val="Compact"/>
            </w:pPr>
            <w:r>
              <w:t xml:space="preserve">617.1%</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$1,746.04</w:t>
            </w:r>
          </w:p>
        </w:tc>
        <w:tc>
          <w:tcPr/>
          <w:p>
            <w:pPr>
              <w:pStyle w:val="Compact"/>
            </w:pPr>
            <w:r>
              <w:t xml:space="preserve">2405.4%</w:t>
            </w:r>
          </w:p>
        </w:tc>
      </w:tr>
    </w:tbl>
    <w:p>
      <w:pPr>
        <w:pStyle w:val="BodyText"/>
      </w:pPr>
      <w:r>
        <w:rPr>
          <w:rFonts w:hint="eastAsia"/>
        </w:rPr>
        <w:t xml:space="preserve">概率加权价值</w:t>
      </w:r>
      <w:r>
        <w:t xml:space="preserve"> </w:t>
      </w:r>
      <w:r>
        <w:rPr>
          <w:b/>
          <w:bCs/>
        </w:rPr>
        <w:t xml:space="preserve">$681.08</w:t>
      </w:r>
      <w:r>
        <w:rPr>
          <w:rFonts w:hint="eastAsia"/>
        </w:rPr>
        <w:t xml:space="preserve">（相对现价</w:t>
      </w:r>
      <w:r>
        <w:t xml:space="preserve"> </w:t>
      </w:r>
      <w:r>
        <w:rPr>
          <w:rFonts w:hint="eastAsia"/>
        </w:rPr>
        <w:t xml:space="preserve">877.3%）。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321.7 bn </w:t>
      </w:r>
      <w:r>
        <w:rPr>
          <w:rFonts w:hint="eastAsia"/>
        </w:rPr>
        <w:t xml:space="preserve">USD；终值占比</w:t>
      </w:r>
      <w:r>
        <w:t xml:space="preserve"> 71.2%。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59.7%</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GPU cloud services </w:t>
      </w:r>
      <w:r>
        <w:rPr>
          <w:rFonts w:hint="eastAsia"/>
        </w:rPr>
        <w:t xml:space="preserve">GPU云服务.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CRWV | 38.4 bn USD | 11.1x | -37.5x | 112.5% | 67.4% | -35.5% |</w:t>
      </w:r>
      <w:r>
        <w:t xml:space="preserve"> </w:t>
      </w:r>
      <w:r>
        <w:t xml:space="preserve">| NBIS | 51.2 bn USD | 39.7x | -53.0x | 454.0% | 74.3% | -18.8% |</w:t>
      </w:r>
      <w:r>
        <w:t xml:space="preserve"> </w:t>
      </w:r>
      <w:r>
        <w:t xml:space="preserve">| ORCL | 407.6 bn USD | 7.6x | 12.2x | 29.6% | 64.0% | -11.2% |</w:t>
      </w:r>
      <w:r>
        <w:t xml:space="preserve"> </w:t>
      </w:r>
      <w:r>
        <w:t xml:space="preserve">| NVDA | 5,245.5 bn USD | 17.2x | 13.6x | 105.9% | 74.7% | 0.8%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in data-center delivery, refinancing stress, GPU price </w:t>
      </w:r>
      <w:r>
        <w:rPr>
          <w:rFonts w:hint="eastAsia"/>
        </w:rPr>
        <w:t xml:space="preserve">deflation｜交付延期、再融资压力、GPU租赁价格通缩</w:t>
      </w:r>
    </w:p>
    <w:p>
      <w:pPr>
        <w:pStyle w:val="Compact"/>
        <w:numPr>
          <w:ilvl w:val="0"/>
          <w:numId w:val="1006"/>
        </w:numPr>
      </w:pPr>
      <w:r>
        <w:rPr>
          <w:rFonts w:hint="eastAsia"/>
        </w:rPr>
        <w:t xml:space="preserve">证伪指标:</w:t>
      </w:r>
      <w:r>
        <w:t xml:space="preserve"> Active power MW below plan; interest expense outruns EBITDA growth; H100/B200 rental prices fall </w:t>
      </w:r>
      <w:r>
        <w:rPr>
          <w:rFonts w:hint="eastAsia"/>
        </w:rPr>
        <w:t xml:space="preserve">sharply｜在运营电力低于计划；利息增速超EBITDA；GPU租价暴跌</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69.69</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3.844e+10</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5.539e+09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5.161e+10</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7.59e+09</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-1.366e+10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1.509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1.046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CRWV_model_v20261016-0756.xlsx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V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V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V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V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V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876f501b9352a8241ae43f06e14b370e300417"/>
    <w:p>
      <w:pPr>
        <w:pStyle w:val="Heading1"/>
      </w:pPr>
      <w:r>
        <w:t xml:space="preserve">CRWV CoreWeave, Inc. — Equity Deep Dive (Professional English) v20261016-0756</w:t>
      </w:r>
    </w:p>
    <w:p>
      <w:pPr>
        <w:pStyle w:val="BlockText"/>
      </w:pPr>
      <w:r>
        <w:t xml:space="preserve">Data as of 2026-10-16 07:56 SGT | Price $69.69 | Mkt cap 38.4 bn USD | Reporting currency USD | Not investment advice.</w:t>
      </w:r>
    </w:p>
    <w:bookmarkStart w:id="39" w:name="investment-thesis-hypothesis"/>
    <w:p>
      <w:pPr>
        <w:pStyle w:val="Heading2"/>
      </w:pPr>
      <w:r>
        <w:t xml:space="preserve">1. Investment thesis (HYPOTHESIS)</w:t>
      </w:r>
    </w:p>
    <w:p>
      <w:pPr>
        <w:pStyle w:val="FirstParagraph"/>
      </w:pPr>
      <w:r>
        <w:t xml:space="preserve">CoreWeave trades high leverage for fast AI-compute rental growth; the crux is backlog conversion, financing cost and GPU economic life. Deeply negative FCF is a feature of the model.</w:t>
      </w:r>
    </w:p>
    <w:p>
      <w:pPr>
        <w:pStyle w:val="Compact"/>
        <w:numPr>
          <w:ilvl w:val="0"/>
          <w:numId w:val="1009"/>
        </w:numPr>
      </w:pPr>
      <w:r>
        <w:rPr>
          <w:b/>
          <w:bCs/>
        </w:rPr>
        <w:t xml:space="preserve">Bull drivers</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9"/>
        </w:numPr>
      </w:pPr>
      <w:r>
        <w:rPr>
          <w:b/>
          <w:bCs/>
        </w:rPr>
        <w:t xml:space="preserve">Bear drivers</w:t>
      </w:r>
      <w:r>
        <w:t xml:space="preserve">: Delays in data-center delivery, refinancing stress, GPU price </w:t>
      </w:r>
      <w:r>
        <w:rPr>
          <w:rFonts w:hint="eastAsia"/>
        </w:rPr>
        <w:t xml:space="preserve">deflation｜交付延期、再融资压力、GPU租赁价格通缩</w:t>
      </w:r>
    </w:p>
    <w:p>
      <w:pPr>
        <w:pStyle w:val="Compact"/>
        <w:numPr>
          <w:ilvl w:val="0"/>
          <w:numId w:val="1009"/>
        </w:numPr>
      </w:pPr>
      <w:r>
        <w:rPr>
          <w:b/>
          <w:bCs/>
        </w:rPr>
        <w:t xml:space="preserve">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neocloud GPU cloud </w:t>
      </w:r>
      <w:r>
        <w:rPr>
          <w:rFonts w:hint="eastAsia"/>
        </w:rPr>
        <w:t xml:space="preserve">AI新云</w:t>
      </w:r>
      <w:r>
        <w:t xml:space="preserve"> | Segments: GPU cloud services </w:t>
      </w:r>
      <w:r>
        <w:rPr>
          <w:rFonts w:hint="eastAsia"/>
        </w:rPr>
        <w:t xml:space="preserve">GPU云服务</w:t>
      </w:r>
    </w:p>
    <w:p>
      <w:pPr>
        <w:pStyle w:val="Compact"/>
        <w:numPr>
          <w:ilvl w:val="0"/>
          <w:numId w:val="1010"/>
        </w:numPr>
      </w:pPr>
      <w:r>
        <w:t xml:space="preserve">Business description (DATA):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10"/>
        </w:numPr>
      </w:pPr>
      <w:r>
        <w:t xml:space="preserve">Customers: Microsoft, OpenAI, Meta, Google, AI </w:t>
      </w:r>
      <w:r>
        <w:rPr>
          <w:rFonts w:hint="eastAsia"/>
        </w:rPr>
        <w:t xml:space="preserve">labs｜微软、OpenAI、Meta、谷歌、AI实验室</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NVDA (GPUs), Dell/SMCI (servers), data-center landlords (Core Scientific, Galaxy), </w:t>
      </w:r>
      <w:r>
        <w:rPr>
          <w:rFonts w:hint="eastAsia"/>
        </w:rPr>
        <w:t xml:space="preserve">lenders｜NVDA、服务器厂、数据中心房东、贷款方</w:t>
      </w:r>
    </w:p>
    <w:p>
      <w:pPr>
        <w:pStyle w:val="Compact"/>
        <w:numPr>
          <w:ilvl w:val="0"/>
          <w:numId w:val="1011"/>
        </w:numPr>
      </w:pPr>
      <w:r>
        <w:t xml:space="preserve">Competitors: Hyperscalers, Nebius, Lambda, Oracle </w:t>
      </w:r>
      <w:r>
        <w:rPr>
          <w:rFonts w:hint="eastAsia"/>
        </w:rPr>
        <w:t xml:space="preserve">OCI｜云厂、Nebius、Lambda、甲骨文</w:t>
      </w:r>
    </w:p>
    <w:p>
      <w:pPr>
        <w:pStyle w:val="Compact"/>
        <w:numPr>
          <w:ilvl w:val="0"/>
          <w:numId w:val="1011"/>
        </w:numPr>
      </w:pPr>
      <w:r>
        <w:t xml:space="preserve">Bottlenecks/regulation: Powered shell availability, debt financing cost, GPU depreciation </w:t>
      </w:r>
      <w:r>
        <w:rPr>
          <w:rFonts w:hint="eastAsia"/>
        </w:rPr>
        <w:t xml:space="preserve">life｜带电机房、债务融资成本、GPU折旧年限</w:t>
      </w:r>
    </w:p>
    <w:p>
      <w:pPr>
        <w:pStyle w:val="Compact"/>
        <w:numPr>
          <w:ilvl w:val="0"/>
          <w:numId w:val="1011"/>
        </w:numPr>
      </w:pPr>
      <w:r>
        <w:t xml:space="preserve">KPIs: Backlog/RPO, active MW, contracted MW, interest expense, </w:t>
      </w:r>
      <w:r>
        <w:rPr>
          <w:rFonts w:hint="eastAsia"/>
        </w:rPr>
        <w:t xml:space="preserve">capex｜积压订单、在运营MW、签约MW、利息费用、Capex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5.5 bn USD; debt 51.6 bn USD; TTM FCF -13.7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2026-11-12</w:t>
      </w:r>
      <w:r>
        <w:t xml:space="preserve">; current-quarter EPS consensus -1.53086 (18 analysts); revenue consensus 3.5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$-190.87</w:t>
            </w:r>
          </w:p>
        </w:tc>
        <w:tc>
          <w:tcPr/>
          <w:p>
            <w:pPr>
              <w:pStyle w:val="Compact"/>
            </w:pPr>
            <w:r>
              <w:t xml:space="preserve">-373.9%</w:t>
            </w:r>
          </w:p>
        </w:tc>
      </w:tr>
      <w:tr>
        <w:tc>
          <w:tcPr/>
          <w:p>
            <w:pPr>
              <w:pStyle w:val="Compact"/>
            </w:pPr>
            <w:r>
              <w:t xml:space="preserve">2Q</w:t>
            </w:r>
          </w:p>
        </w:tc>
        <w:tc>
          <w:tcPr/>
          <w:p>
            <w:pPr>
              <w:pStyle w:val="Compact"/>
            </w:pPr>
            <w:r>
              <w:t xml:space="preserve">Base</w:t>
            </w:r>
          </w:p>
        </w:tc>
        <w:tc>
          <w:tcPr/>
          <w:p>
            <w:pPr>
              <w:pStyle w:val="Compact"/>
            </w:pPr>
            <w:r>
              <w:t xml:space="preserve">$-359.88</w:t>
            </w:r>
          </w:p>
        </w:tc>
        <w:tc>
          <w:tcPr/>
          <w:p>
            <w:pPr>
              <w:pStyle w:val="Compact"/>
            </w:pPr>
            <w:r>
              <w:t xml:space="preserve">-616.4%</w:t>
            </w:r>
          </w:p>
        </w:tc>
      </w:tr>
      <w:tr>
        <w:tc>
          <w:tcPr/>
          <w:p>
            <w:pPr>
              <w:pStyle w:val="Compact"/>
            </w:pPr>
            <w:r>
              <w:t xml:space="preserve">2Q</w:t>
            </w:r>
          </w:p>
        </w:tc>
        <w:tc>
          <w:tcPr/>
          <w:p>
            <w:pPr>
              <w:pStyle w:val="Compact"/>
            </w:pPr>
            <w:r>
              <w:t xml:space="preserve">Bull</w:t>
            </w:r>
          </w:p>
        </w:tc>
        <w:tc>
          <w:tcPr/>
          <w:p>
            <w:pPr>
              <w:pStyle w:val="Compact"/>
            </w:pPr>
            <w:r>
              <w:t xml:space="preserve">$-554.42</w:t>
            </w:r>
          </w:p>
        </w:tc>
        <w:tc>
          <w:tcPr/>
          <w:p>
            <w:pPr>
              <w:pStyle w:val="Compact"/>
            </w:pPr>
            <w:r>
              <w:t xml:space="preserve">-895.6%</w:t>
            </w:r>
          </w:p>
        </w:tc>
      </w:tr>
      <w:tr>
        <w:tc>
          <w:tcPr/>
          <w:p>
            <w:pPr>
              <w:pStyle w:val="Compact"/>
            </w:pPr>
            <w:r>
              <w:t xml:space="preserve">4Q</w:t>
            </w:r>
          </w:p>
        </w:tc>
        <w:tc>
          <w:tcPr/>
          <w:p>
            <w:pPr>
              <w:pStyle w:val="Compact"/>
            </w:pPr>
            <w:r>
              <w:t xml:space="preserve">Bear</w:t>
            </w:r>
          </w:p>
        </w:tc>
        <w:tc>
          <w:tcPr/>
          <w:p>
            <w:pPr>
              <w:pStyle w:val="Compact"/>
            </w:pPr>
            <w:r>
              <w:t xml:space="preserve">$-177.99</w:t>
            </w:r>
          </w:p>
        </w:tc>
        <w:tc>
          <w:tcPr/>
          <w:p>
            <w:pPr>
              <w:pStyle w:val="Compact"/>
            </w:pPr>
            <w:r>
              <w:t xml:space="preserve">-355.4%</w:t>
            </w:r>
          </w:p>
        </w:tc>
      </w:tr>
      <w:tr>
        <w:tc>
          <w:tcPr/>
          <w:p>
            <w:pPr>
              <w:pStyle w:val="Compact"/>
            </w:pPr>
            <w:r>
              <w:t xml:space="preserve">4Q</w:t>
            </w:r>
          </w:p>
        </w:tc>
        <w:tc>
          <w:tcPr/>
          <w:p>
            <w:pPr>
              <w:pStyle w:val="Compact"/>
            </w:pPr>
            <w:r>
              <w:t xml:space="preserve">Base</w:t>
            </w:r>
          </w:p>
        </w:tc>
        <w:tc>
          <w:tcPr/>
          <w:p>
            <w:pPr>
              <w:pStyle w:val="Compact"/>
            </w:pPr>
            <w:r>
              <w:t xml:space="preserve">$-370.50</w:t>
            </w:r>
          </w:p>
        </w:tc>
        <w:tc>
          <w:tcPr/>
          <w:p>
            <w:pPr>
              <w:pStyle w:val="Compact"/>
            </w:pPr>
            <w:r>
              <w:t xml:space="preserve">-631.6%</w:t>
            </w:r>
          </w:p>
        </w:tc>
      </w:tr>
      <w:tr>
        <w:tc>
          <w:tcPr/>
          <w:p>
            <w:pPr>
              <w:pStyle w:val="Compact"/>
            </w:pPr>
            <w:r>
              <w:t xml:space="preserve">4Q</w:t>
            </w:r>
          </w:p>
        </w:tc>
        <w:tc>
          <w:tcPr/>
          <w:p>
            <w:pPr>
              <w:pStyle w:val="Compact"/>
            </w:pPr>
            <w:r>
              <w:t xml:space="preserve">Bull</w:t>
            </w:r>
          </w:p>
        </w:tc>
        <w:tc>
          <w:tcPr/>
          <w:p>
            <w:pPr>
              <w:pStyle w:val="Compact"/>
            </w:pPr>
            <w:r>
              <w:t xml:space="preserve">$-604.47</w:t>
            </w:r>
          </w:p>
        </w:tc>
        <w:tc>
          <w:tcPr/>
          <w:p>
            <w:pPr>
              <w:pStyle w:val="Compact"/>
            </w:pPr>
            <w:r>
              <w:t xml:space="preserve">-967.4%</w:t>
            </w:r>
          </w:p>
        </w:tc>
      </w:tr>
      <w:tr>
        <w:tc>
          <w:tcPr/>
          <w:p>
            <w:pPr>
              <w:pStyle w:val="Compact"/>
            </w:pPr>
            <w:r>
              <w:t xml:space="preserve">6Q</w:t>
            </w:r>
          </w:p>
        </w:tc>
        <w:tc>
          <w:tcPr/>
          <w:p>
            <w:pPr>
              <w:pStyle w:val="Compact"/>
            </w:pPr>
            <w:r>
              <w:t xml:space="preserve">Bear</w:t>
            </w:r>
          </w:p>
        </w:tc>
        <w:tc>
          <w:tcPr/>
          <w:p>
            <w:pPr>
              <w:pStyle w:val="Compact"/>
            </w:pPr>
            <w:r>
              <w:t xml:space="preserve">$-160.18</w:t>
            </w:r>
          </w:p>
        </w:tc>
        <w:tc>
          <w:tcPr/>
          <w:p>
            <w:pPr>
              <w:pStyle w:val="Compact"/>
            </w:pPr>
            <w:r>
              <w:t xml:space="preserve">-329.8%</w:t>
            </w:r>
          </w:p>
        </w:tc>
      </w:tr>
      <w:tr>
        <w:tc>
          <w:tcPr/>
          <w:p>
            <w:pPr>
              <w:pStyle w:val="Compact"/>
            </w:pPr>
            <w:r>
              <w:t xml:space="preserve">6Q</w:t>
            </w:r>
          </w:p>
        </w:tc>
        <w:tc>
          <w:tcPr/>
          <w:p>
            <w:pPr>
              <w:pStyle w:val="Compact"/>
            </w:pPr>
            <w:r>
              <w:t xml:space="preserve">Base</w:t>
            </w:r>
          </w:p>
        </w:tc>
        <w:tc>
          <w:tcPr/>
          <w:p>
            <w:pPr>
              <w:pStyle w:val="Compact"/>
            </w:pPr>
            <w:r>
              <w:t xml:space="preserve">$-359.31</w:t>
            </w:r>
          </w:p>
        </w:tc>
        <w:tc>
          <w:tcPr/>
          <w:p>
            <w:pPr>
              <w:pStyle w:val="Compact"/>
            </w:pPr>
            <w:r>
              <w:t xml:space="preserve">-615.6%</w:t>
            </w:r>
          </w:p>
        </w:tc>
      </w:tr>
      <w:tr>
        <w:tc>
          <w:tcPr/>
          <w:p>
            <w:pPr>
              <w:pStyle w:val="Compact"/>
            </w:pPr>
            <w:r>
              <w:t xml:space="preserve">6Q</w:t>
            </w:r>
          </w:p>
        </w:tc>
        <w:tc>
          <w:tcPr/>
          <w:p>
            <w:pPr>
              <w:pStyle w:val="Compact"/>
            </w:pPr>
            <w:r>
              <w:t xml:space="preserve">Bull</w:t>
            </w:r>
          </w:p>
        </w:tc>
        <w:tc>
          <w:tcPr/>
          <w:p>
            <w:pPr>
              <w:pStyle w:val="Compact"/>
            </w:pPr>
            <w:r>
              <w:t xml:space="preserve">$-610.93</w:t>
            </w:r>
          </w:p>
        </w:tc>
        <w:tc>
          <w:tcPr/>
          <w:p>
            <w:pPr>
              <w:pStyle w:val="Compact"/>
            </w:pPr>
            <w:r>
              <w:t xml:space="preserve">-976.6%</w:t>
            </w:r>
          </w:p>
        </w:tc>
      </w:tr>
      <w:tr>
        <w:tc>
          <w:tcPr/>
          <w:p>
            <w:pPr>
              <w:pStyle w:val="Compact"/>
            </w:pPr>
            <w:r>
              <w:t xml:space="preserve">8Q</w:t>
            </w:r>
          </w:p>
        </w:tc>
        <w:tc>
          <w:tcPr/>
          <w:p>
            <w:pPr>
              <w:pStyle w:val="Compact"/>
            </w:pPr>
            <w:r>
              <w:t xml:space="preserve">Bear</w:t>
            </w:r>
          </w:p>
        </w:tc>
        <w:tc>
          <w:tcPr/>
          <w:p>
            <w:pPr>
              <w:pStyle w:val="Compact"/>
            </w:pPr>
            <w:r>
              <w:t xml:space="preserve">$-136.00</w:t>
            </w:r>
          </w:p>
        </w:tc>
        <w:tc>
          <w:tcPr/>
          <w:p>
            <w:pPr>
              <w:pStyle w:val="Compact"/>
            </w:pPr>
            <w:r>
              <w:t xml:space="preserve">-295.2%</w:t>
            </w:r>
          </w:p>
        </w:tc>
      </w:tr>
      <w:tr>
        <w:tc>
          <w:tcPr/>
          <w:p>
            <w:pPr>
              <w:pStyle w:val="Compact"/>
            </w:pPr>
            <w:r>
              <w:t xml:space="preserve">8Q</w:t>
            </w:r>
          </w:p>
        </w:tc>
        <w:tc>
          <w:tcPr/>
          <w:p>
            <w:pPr>
              <w:pStyle w:val="Compact"/>
            </w:pPr>
            <w:r>
              <w:t xml:space="preserve">Base</w:t>
            </w:r>
          </w:p>
        </w:tc>
        <w:tc>
          <w:tcPr/>
          <w:p>
            <w:pPr>
              <w:pStyle w:val="Compact"/>
            </w:pPr>
            <w:r>
              <w:t xml:space="preserve">$-309.66</w:t>
            </w:r>
          </w:p>
        </w:tc>
        <w:tc>
          <w:tcPr/>
          <w:p>
            <w:pPr>
              <w:pStyle w:val="Compact"/>
            </w:pPr>
            <w:r>
              <w:t xml:space="preserve">-544.3%</w:t>
            </w:r>
          </w:p>
        </w:tc>
      </w:tr>
      <w:tr>
        <w:tc>
          <w:tcPr/>
          <w:p>
            <w:pPr>
              <w:pStyle w:val="Compact"/>
            </w:pPr>
            <w:r>
              <w:t xml:space="preserve">8Q</w:t>
            </w:r>
          </w:p>
        </w:tc>
        <w:tc>
          <w:tcPr/>
          <w:p>
            <w:pPr>
              <w:pStyle w:val="Compact"/>
            </w:pPr>
            <w:r>
              <w:t xml:space="preserve">Bull</w:t>
            </w:r>
          </w:p>
        </w:tc>
        <w:tc>
          <w:tcPr/>
          <w:p>
            <w:pPr>
              <w:pStyle w:val="Compact"/>
            </w:pPr>
            <w:r>
              <w:t xml:space="preserve">$-524.99</w:t>
            </w:r>
          </w:p>
        </w:tc>
        <w:tc>
          <w:tcPr/>
          <w:p>
            <w:pPr>
              <w:pStyle w:val="Compact"/>
            </w:pPr>
            <w:r>
              <w:t xml:space="preserve">-853.3%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$-21.13</w:t>
            </w:r>
          </w:p>
        </w:tc>
        <w:tc>
          <w:tcPr/>
          <w:p>
            <w:pPr>
              <w:pStyle w:val="Compact"/>
            </w:pPr>
            <w:r>
              <w:t xml:space="preserve">-130.3%</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$499.71</w:t>
            </w:r>
          </w:p>
        </w:tc>
        <w:tc>
          <w:tcPr/>
          <w:p>
            <w:pPr>
              <w:pStyle w:val="Compact"/>
            </w:pPr>
            <w:r>
              <w:t xml:space="preserve">617.1%</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$1,746.04</w:t>
            </w:r>
          </w:p>
        </w:tc>
        <w:tc>
          <w:tcPr/>
          <w:p>
            <w:pPr>
              <w:pStyle w:val="Compact"/>
            </w:pPr>
            <w:r>
              <w:t xml:space="preserve">2405.4%</w:t>
            </w:r>
          </w:p>
        </w:tc>
      </w:tr>
    </w:tbl>
    <w:p>
      <w:pPr>
        <w:pStyle w:val="BodyText"/>
      </w:pPr>
      <w:r>
        <w:t xml:space="preserve">Probability-weighted value</w:t>
      </w:r>
      <w:r>
        <w:t xml:space="preserve"> </w:t>
      </w:r>
      <w:r>
        <w:rPr>
          <w:b/>
          <w:bCs/>
        </w:rPr>
        <w:t xml:space="preserve">$681.08</w:t>
      </w:r>
      <w:r>
        <w:t xml:space="preserve"> </w:t>
      </w:r>
      <w:r>
        <w:t xml:space="preserve">(877.3%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321.7 bn USD; terminal share 71.2%.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59.7%</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GPU cloud services </w:t>
      </w:r>
      <w:r>
        <w:rPr>
          <w:rFonts w:hint="eastAsia"/>
        </w:rPr>
        <w:t xml:space="preserve">GPU云服务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in data-center delivery, refinancing stress, GPU price </w:t>
      </w:r>
      <w:r>
        <w:rPr>
          <w:rFonts w:hint="eastAsia"/>
        </w:rPr>
        <w:t xml:space="preserve">deflation｜交付延期、再融资压力、GPU租赁价格通缩</w:t>
      </w:r>
      <w:r>
        <w:t xml:space="preserve"> | Falsifiers: Active power MW below plan; interest expense outruns EBITDA growth; H100/B200 rental prices fall </w:t>
      </w:r>
      <w:r>
        <w:rPr>
          <w:rFonts w:hint="eastAsia"/>
        </w:rPr>
        <w:t xml:space="preserve">sharply｜在运营电力低于计划；利息增速超EBITDA；GPU租价暴跌</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CRWV_model_v20261016-0756.xlsx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2026-10-15T23:58:49Z</dcterms:created>
  <dcterms:modified xsi:type="dcterms:W3CDTF">2026-10-15T23:58:49Z</dcterms:modified>
</cp:coreProperties>
</file>

<file path=docProps/custom.xml><?xml version="1.0" encoding="utf-8"?>
<Properties xmlns="http://schemas.openxmlformats.org/officeDocument/2006/custom-properties" xmlns:vt="http://schemas.openxmlformats.org/officeDocument/2006/docPropsVTypes"/>
</file>