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dbda3640325511277397d54fb201fe3742c29e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v20261016-0756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2026-10-16 07:56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$869.54｜市值</w:t>
      </w:r>
      <w:r>
        <w:t xml:space="preserve"> 78.8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Optical modules/lasers/CPO </w:t>
      </w:r>
      <w:r>
        <w:rPr>
          <w:rFonts w:hint="eastAsia"/>
        </w:rPr>
        <w:t xml:space="preserve">光模块/激光器/CPO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Components (EML, CW lasers) </w:t>
      </w:r>
      <w:r>
        <w:rPr>
          <w:rFonts w:hint="eastAsia"/>
        </w:rPr>
        <w:t xml:space="preserve">器件；Systems</w:t>
      </w:r>
      <w:r>
        <w:t xml:space="preserve">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2.7 bn </w:t>
      </w:r>
      <w:r>
        <w:rPr>
          <w:rFonts w:hint="eastAsia"/>
        </w:rPr>
        <w:t xml:space="preserve">USD；总负债</w:t>
      </w:r>
      <w:r>
        <w:t xml:space="preserve"> 1.7 bn </w:t>
      </w:r>
      <w:r>
        <w:rPr>
          <w:rFonts w:hint="eastAsia"/>
        </w:rPr>
        <w:t xml:space="preserve">USD；净现金</w:t>
      </w:r>
      <w:r>
        <w:t xml:space="preserve"> 1.1 bn USD。TTM FCF 0.3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10.0%）。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2026-11-06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4.20967（22位分析师）；收入一致预期</w:t>
      </w:r>
      <w:r>
        <w:t xml:space="preserve"> 1.3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$99.38</w:t>
            </w:r>
          </w:p>
        </w:tc>
        <w:tc>
          <w:tcPr/>
          <w:p>
            <w:pPr>
              <w:pStyle w:val="Compact"/>
            </w:pPr>
            <w:r>
              <w:t xml:space="preserve">-88.6%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$233.88</w:t>
            </w:r>
          </w:p>
        </w:tc>
        <w:tc>
          <w:tcPr/>
          <w:p>
            <w:pPr>
              <w:pStyle w:val="Compact"/>
            </w:pPr>
            <w:r>
              <w:t xml:space="preserve">-73.1%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$404.50</w:t>
            </w:r>
          </w:p>
        </w:tc>
        <w:tc>
          <w:tcPr/>
          <w:p>
            <w:pPr>
              <w:pStyle w:val="Compact"/>
            </w:pPr>
            <w:r>
              <w:t xml:space="preserve">-53.5%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$111.45</w:t>
            </w:r>
          </w:p>
        </w:tc>
        <w:tc>
          <w:tcPr/>
          <w:p>
            <w:pPr>
              <w:pStyle w:val="Compact"/>
            </w:pPr>
            <w:r>
              <w:t xml:space="preserve">-87.2%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$300.48</w:t>
            </w:r>
          </w:p>
        </w:tc>
        <w:tc>
          <w:tcPr/>
          <w:p>
            <w:pPr>
              <w:pStyle w:val="Compact"/>
            </w:pPr>
            <w:r>
              <w:t xml:space="preserve">-65.4%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$559.08</w:t>
            </w:r>
          </w:p>
        </w:tc>
        <w:tc>
          <w:tcPr/>
          <w:p>
            <w:pPr>
              <w:pStyle w:val="Compact"/>
            </w:pPr>
            <w:r>
              <w:t xml:space="preserve">-35.7%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$124.81</w:t>
            </w:r>
          </w:p>
        </w:tc>
        <w:tc>
          <w:tcPr/>
          <w:p>
            <w:pPr>
              <w:pStyle w:val="Compact"/>
            </w:pPr>
            <w:r>
              <w:t xml:space="preserve">-85.6%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$384.06</w:t>
            </w:r>
          </w:p>
        </w:tc>
        <w:tc>
          <w:tcPr/>
          <w:p>
            <w:pPr>
              <w:pStyle w:val="Compact"/>
            </w:pPr>
            <w:r>
              <w:t xml:space="preserve">-55.8%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$766.06</w:t>
            </w:r>
          </w:p>
        </w:tc>
        <w:tc>
          <w:tcPr/>
          <w:p>
            <w:pPr>
              <w:pStyle w:val="Compact"/>
            </w:pPr>
            <w:r>
              <w:t xml:space="preserve">-11.9%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$139.56</w:t>
            </w:r>
          </w:p>
        </w:tc>
        <w:tc>
          <w:tcPr/>
          <w:p>
            <w:pPr>
              <w:pStyle w:val="Compact"/>
            </w:pPr>
            <w:r>
              <w:t xml:space="preserve">-83.9%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$488.55</w:t>
            </w:r>
          </w:p>
        </w:tc>
        <w:tc>
          <w:tcPr/>
          <w:p>
            <w:pPr>
              <w:pStyle w:val="Compact"/>
            </w:pPr>
            <w:r>
              <w:t xml:space="preserve">-43.8%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$1,041.80</w:t>
            </w:r>
          </w:p>
        </w:tc>
        <w:tc>
          <w:tcPr/>
          <w:p>
            <w:pPr>
              <w:pStyle w:val="Compact"/>
            </w:pPr>
            <w:r>
              <w:t xml:space="preserve">19.8%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90.6x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65.5x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47.8x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35.1x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$158.43</w:t>
            </w:r>
          </w:p>
        </w:tc>
        <w:tc>
          <w:tcPr/>
          <w:p>
            <w:pPr>
              <w:pStyle w:val="Compact"/>
            </w:pPr>
            <w:r>
              <w:t xml:space="preserve">-81.8%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57.0%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$586.82</w:t>
            </w:r>
          </w:p>
        </w:tc>
        <w:tc>
          <w:tcPr/>
          <w:p>
            <w:pPr>
              <w:pStyle w:val="Compact"/>
            </w:pPr>
            <w:r>
              <w:t xml:space="preserve">-32.5%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74.0%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$1,302.28</w:t>
            </w:r>
          </w:p>
        </w:tc>
        <w:tc>
          <w:tcPr/>
          <w:p>
            <w:pPr>
              <w:pStyle w:val="Compact"/>
            </w:pPr>
            <w:r>
              <w:t xml:space="preserve">49.8%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$658.59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-24.3%）。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52.1 bn </w:t>
      </w:r>
      <w:r>
        <w:rPr>
          <w:rFonts w:hint="eastAsia"/>
        </w:rPr>
        <w:t xml:space="preserve">USD；终值占比</w:t>
      </w:r>
      <w:r>
        <w:t xml:space="preserve"> 56.6%。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69.3%</w:t>
      </w:r>
      <w:r>
        <w:rPr>
          <w:rFonts w:hint="eastAsia"/>
        </w:rPr>
        <w:t xml:space="preserve">；一致预期FY+1增速</w:t>
      </w:r>
      <w:r>
        <w:t xml:space="preserve"> 57.0%。</w:t>
      </w:r>
    </w:p>
    <w:p>
      <w:pPr>
        <w:numPr>
          <w:ilvl w:val="0"/>
          <w:numId w:val="1005"/>
        </w:numPr>
      </w:pPr>
      <w:r>
        <w:t xml:space="preserve">WACC (CAPM) = rf 5.2% + β 1.54 × ERP 5.0% = 12.9%。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LITE | 78.8 bn USD | 25.5x | 24.1x | 109.3% | 44.2% | 0.4% |</w:t>
      </w:r>
      <w:r>
        <w:t xml:space="preserve"> </w:t>
      </w:r>
      <w:r>
        <w:t xml:space="preserve">| COHR | 49.4 bn USD | 7.2x | 17.8x | 33.7% | 37.5% | -1.3% |</w:t>
      </w:r>
      <w:r>
        <w:t xml:space="preserve"> </w:t>
      </w:r>
      <w:r>
        <w:t xml:space="preserve">| CIEN | 50.6 bn USD | 8.5x | 30.1x | 37.0% | 44.1% | 1.3% |</w:t>
      </w:r>
      <w:r>
        <w:t xml:space="preserve"> </w:t>
      </w:r>
      <w:r>
        <w:t xml:space="preserve">| AAOI | 7.1 bn USD | 11.5x | 18.2x | 86.4% | 28.9% | -12.5% |</w:t>
      </w:r>
      <w:r>
        <w:t xml:space="preserve"> </w:t>
      </w:r>
      <w:r>
        <w:t xml:space="preserve">| GLW | 119.2 bn USD | 7.5x | 31.7x | 16.6% | 36.4% | 0.6%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869.5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2026-10-16T07:56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7.877e+10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2.738e+09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1.671e+09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3.014e+09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3.001e+08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1.536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0.0519</w:t>
            </w:r>
          </w:p>
        </w:tc>
        <w:tc>
          <w:tcPr/>
          <w:p>
            <w:pPr>
              <w:pStyle w:val="Compact"/>
            </w:pPr>
            <w:r>
              <w:t xml:space="preserve">FRED DGS10 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1.54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0.09957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LITE_model_v20261016-0756.xlsx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v20261016-0756.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v20261016-0756: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2026-11-06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LITE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LITE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LITE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LITE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LITE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cb66e59113085f4aac92f14d273deace2865a69"/>
    <w:p>
      <w:pPr>
        <w:pStyle w:val="Heading1"/>
      </w:pPr>
      <w:r>
        <w:t xml:space="preserve">LITE Lumentum Holdings Inc. — Equity Deep Dive (Professional English) v20261016-0756</w:t>
      </w:r>
    </w:p>
    <w:p>
      <w:pPr>
        <w:pStyle w:val="BlockText"/>
      </w:pPr>
      <w:r>
        <w:t xml:space="preserve">Data as of 2026-10-16 07:56 SGT | Price $869.54 | Mkt cap 78.8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Lumentum benefits from the upstream</w:t>
      </w:r>
      <w:r>
        <w:t xml:space="preserve"> </w:t>
      </w:r>
      <w:r>
        <w:t xml:space="preserve">‘laser bottleneck’</w:t>
      </w:r>
      <w:r>
        <w:t xml:space="preserve"> </w:t>
      </w:r>
      <w:r>
        <w:t xml:space="preserve">in AI optics (EMLs, CW sources for CPO, OCS switching); the stock already prices very high growth and is sensitive to capacity additions and pricing.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EML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Chinese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Optical modules/lasers/CPO </w:t>
      </w:r>
      <w:r>
        <w:rPr>
          <w:rFonts w:hint="eastAsia"/>
        </w:rPr>
        <w:t xml:space="preserve">光模块/激光器/CPO</w:t>
      </w:r>
      <w:r>
        <w:t xml:space="preserve"> |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Lumentum Holdings Inc. manufactures and sells optical and photonic products in the Americas, the Asia-Pacific, Europe, the Middle East, and Africa. It offers component products, including semiconductor laser chips, laser sub-assemblies, line subsystems, and wavelength management systems. The company also offers system products, such as optical modules, optical circuit switches, and industrial lasers, including short-pulse solid-state lasers and kilowatt-class fiber lasers. Its products and solutions are used in cloud, artificial intelligence and machine learning (AI/ML), telecommunications, consumer, and industrial end-market applications. The company was incorporated in 2015 and is headquartered in San Jose, California.</w:t>
      </w:r>
    </w:p>
    <w:p>
      <w:pPr>
        <w:pStyle w:val="Compact"/>
        <w:numPr>
          <w:ilvl w:val="0"/>
          <w:numId w:val="1010"/>
        </w:numPr>
      </w:pPr>
      <w:r>
        <w:t xml:space="preserve">Customers: Hyperscalers (Google OCS), NVDA (CPO lasers), module </w:t>
      </w:r>
      <w:r>
        <w:rPr>
          <w:rFonts w:hint="eastAsia"/>
        </w:rPr>
        <w:t xml:space="preserve">makers｜云厂(谷歌OCS)、NVDA(CPO光源)、模块厂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InP substrates, epi (in-house + LandMark), TOSA </w:t>
      </w:r>
      <w:r>
        <w:rPr>
          <w:rFonts w:hint="eastAsia"/>
        </w:rPr>
        <w:t xml:space="preserve">parts｜磷化铟衬底、外延(自产+联亚)</w:t>
      </w:r>
    </w:p>
    <w:p>
      <w:pPr>
        <w:pStyle w:val="Compact"/>
        <w:numPr>
          <w:ilvl w:val="0"/>
          <w:numId w:val="1011"/>
        </w:numPr>
      </w:pPr>
      <w:r>
        <w:t xml:space="preserve">Competitors: Coherent, Innolight, Eoptolink, Broadcom (EML), Sumitomo, </w:t>
      </w:r>
      <w:r>
        <w:rPr>
          <w:rFonts w:hint="eastAsia"/>
        </w:rPr>
        <w:t xml:space="preserve">Mitsubishi｜Coherent、中际旭创、新易盛、博通、日系</w:t>
      </w:r>
    </w:p>
    <w:p>
      <w:pPr>
        <w:pStyle w:val="Compact"/>
        <w:numPr>
          <w:ilvl w:val="0"/>
          <w:numId w:val="1011"/>
        </w:numPr>
      </w:pPr>
      <w:r>
        <w:t xml:space="preserve">Bottlenecks/regulation: EML/InP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11"/>
        </w:numPr>
      </w:pPr>
      <w:r>
        <w:t xml:space="preserve">KPIs: Revenue growth, GM%, EML capacity, CPO design </w:t>
      </w:r>
      <w:r>
        <w:rPr>
          <w:rFonts w:hint="eastAsia"/>
        </w:rPr>
        <w:t xml:space="preserve">wins｜收入增速、毛利率、EML产能、CPO订单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 bn USD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-7.2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0.4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79.1 mn USD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0.7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63.9 mn USD</w:t>
            </w:r>
          </w:p>
        </w:tc>
        <w:tc>
          <w:tcPr/>
          <w:p>
            <w:pPr>
              <w:pStyle w:val="Compact"/>
            </w:pPr>
            <w:r>
              <w:t xml:space="preserve">78.2 mn USD</w:t>
            </w:r>
          </w:p>
        </w:tc>
        <w:tc>
          <w:tcPr/>
          <w:p>
            <w:pPr>
              <w:pStyle w:val="Compact"/>
            </w:pPr>
            <w:r>
              <w:t xml:space="preserve">43.1 mn USD</w:t>
            </w:r>
          </w:p>
        </w:tc>
        <w:tc>
          <w:tcPr/>
          <w:p>
            <w:pPr>
              <w:pStyle w:val="Compact"/>
            </w:pPr>
            <w:r>
              <w:t xml:space="preserve">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15.0 mn USD</w:t>
            </w:r>
          </w:p>
        </w:tc>
        <w:tc>
          <w:tcPr/>
          <w:p>
            <w:pPr>
              <w:pStyle w:val="Compact"/>
            </w:pPr>
            <w:r>
              <w:t xml:space="preserve">4.2 mn USD</w:t>
            </w:r>
          </w:p>
        </w:tc>
        <w:tc>
          <w:tcPr/>
          <w:p>
            <w:pPr>
              <w:pStyle w:val="Compact"/>
            </w:pPr>
            <w:r>
              <w:t xml:space="preserve">-18.3 mn USD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-3.2 mn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10.1 mn USD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2.7 bn USD; debt 1.7 bn USD; TTM FCF 0.3 bn USD (FCF margin 10.0%).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1.02764</w:t>
            </w:r>
          </w:p>
        </w:tc>
        <w:tc>
          <w:tcPr/>
          <w:p>
            <w:pPr>
              <w:pStyle w:val="Compact"/>
            </w:pPr>
            <w:r>
              <w:t xml:space="preserve">0.0704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1.40853</w:t>
            </w:r>
          </w:p>
        </w:tc>
        <w:tc>
          <w:tcPr/>
          <w:p>
            <w:pPr>
              <w:pStyle w:val="Compac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2.26526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t xml:space="preserve">2.96892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2026-11-06</w:t>
      </w:r>
      <w:r>
        <w:t xml:space="preserve">; current-quarter EPS consensus 4.20967 (22 analysts); revenue consensus 1.3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$99.38</w:t>
            </w:r>
          </w:p>
        </w:tc>
        <w:tc>
          <w:tcPr/>
          <w:p>
            <w:pPr>
              <w:pStyle w:val="Compact"/>
            </w:pPr>
            <w:r>
              <w:t xml:space="preserve">-88.6%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$233.88</w:t>
            </w:r>
          </w:p>
        </w:tc>
        <w:tc>
          <w:tcPr/>
          <w:p>
            <w:pPr>
              <w:pStyle w:val="Compact"/>
            </w:pPr>
            <w:r>
              <w:t xml:space="preserve">-73.1%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$404.50</w:t>
            </w:r>
          </w:p>
        </w:tc>
        <w:tc>
          <w:tcPr/>
          <w:p>
            <w:pPr>
              <w:pStyle w:val="Compact"/>
            </w:pPr>
            <w:r>
              <w:t xml:space="preserve">-53.5%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$111.45</w:t>
            </w:r>
          </w:p>
        </w:tc>
        <w:tc>
          <w:tcPr/>
          <w:p>
            <w:pPr>
              <w:pStyle w:val="Compact"/>
            </w:pPr>
            <w:r>
              <w:t xml:space="preserve">-87.2%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$300.48</w:t>
            </w:r>
          </w:p>
        </w:tc>
        <w:tc>
          <w:tcPr/>
          <w:p>
            <w:pPr>
              <w:pStyle w:val="Compact"/>
            </w:pPr>
            <w:r>
              <w:t xml:space="preserve">-65.4%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$559.08</w:t>
            </w:r>
          </w:p>
        </w:tc>
        <w:tc>
          <w:tcPr/>
          <w:p>
            <w:pPr>
              <w:pStyle w:val="Compact"/>
            </w:pPr>
            <w:r>
              <w:t xml:space="preserve">-35.7%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$124.81</w:t>
            </w:r>
          </w:p>
        </w:tc>
        <w:tc>
          <w:tcPr/>
          <w:p>
            <w:pPr>
              <w:pStyle w:val="Compact"/>
            </w:pPr>
            <w:r>
              <w:t xml:space="preserve">-85.6%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$384.06</w:t>
            </w:r>
          </w:p>
        </w:tc>
        <w:tc>
          <w:tcPr/>
          <w:p>
            <w:pPr>
              <w:pStyle w:val="Compact"/>
            </w:pPr>
            <w:r>
              <w:t xml:space="preserve">-55.8%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$766.06</w:t>
            </w:r>
          </w:p>
        </w:tc>
        <w:tc>
          <w:tcPr/>
          <w:p>
            <w:pPr>
              <w:pStyle w:val="Compact"/>
            </w:pPr>
            <w:r>
              <w:t xml:space="preserve">-11.9%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$139.56</w:t>
            </w:r>
          </w:p>
        </w:tc>
        <w:tc>
          <w:tcPr/>
          <w:p>
            <w:pPr>
              <w:pStyle w:val="Compact"/>
            </w:pPr>
            <w:r>
              <w:t xml:space="preserve">-83.9%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$488.55</w:t>
            </w:r>
          </w:p>
        </w:tc>
        <w:tc>
          <w:tcPr/>
          <w:p>
            <w:pPr>
              <w:pStyle w:val="Compact"/>
            </w:pPr>
            <w:r>
              <w:t xml:space="preserve">-43.8%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$1,041.80</w:t>
            </w:r>
          </w:p>
        </w:tc>
        <w:tc>
          <w:tcPr/>
          <w:p>
            <w:pPr>
              <w:pStyle w:val="Compact"/>
            </w:pPr>
            <w:r>
              <w:t xml:space="preserve">19.8%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90.6x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65.5x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47.8x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35.1x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$158.43</w:t>
            </w:r>
          </w:p>
        </w:tc>
        <w:tc>
          <w:tcPr/>
          <w:p>
            <w:pPr>
              <w:pStyle w:val="Compact"/>
            </w:pPr>
            <w:r>
              <w:t xml:space="preserve">-81.8%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57.0%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12.9%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$586.82</w:t>
            </w:r>
          </w:p>
        </w:tc>
        <w:tc>
          <w:tcPr/>
          <w:p>
            <w:pPr>
              <w:pStyle w:val="Compact"/>
            </w:pPr>
            <w:r>
              <w:t xml:space="preserve">-32.5%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74.0%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$1,302.28</w:t>
            </w:r>
          </w:p>
        </w:tc>
        <w:tc>
          <w:tcPr/>
          <w:p>
            <w:pPr>
              <w:pStyle w:val="Compact"/>
            </w:pPr>
            <w:r>
              <w:t xml:space="preserve">49.8%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$658.59</w:t>
      </w:r>
      <w:r>
        <w:t xml:space="preserve"> </w:t>
      </w:r>
      <w:r>
        <w:t xml:space="preserve">(-24.3%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52.1 bn USD; terminal share 56.6%.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69.3%</w:t>
      </w:r>
      <w:r>
        <w:t xml:space="preserve"> </w:t>
      </w:r>
      <w:r>
        <w:t xml:space="preserve">vs consensus FY+1 57.0%.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1.54 × ERP 5.0% = 12.9%.</w:t>
      </w:r>
    </w:p>
    <w:p>
      <w:pPr>
        <w:pStyle w:val="Compact"/>
        <w:numPr>
          <w:ilvl w:val="0"/>
          <w:numId w:val="1013"/>
        </w:numPr>
      </w:pPr>
      <w:r>
        <w:t xml:space="preserve">SOTP segments: Components (EML, CW lasers) </w:t>
      </w:r>
      <w:r>
        <w:rPr>
          <w:rFonts w:hint="eastAsia"/>
        </w:rPr>
        <w:t xml:space="preserve">器件;</w:t>
      </w:r>
      <w:r>
        <w:t xml:space="preserve"> Systems (transceivers, OCS) </w:t>
      </w:r>
      <w:r>
        <w:rPr>
          <w:rFonts w:hint="eastAsia"/>
        </w:rPr>
        <w:t xml:space="preserve">系统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|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LITE_model_v20261016-0756.xlsx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  <w:r>
        <w:t xml:space="preserve"> </w:t>
      </w:r>
      <w:r>
        <w:t xml:space="preserve">- Version: v20261016-0756.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2026-10-15T23:58:37Z</dcterms:created>
  <dcterms:modified xsi:type="dcterms:W3CDTF">2026-10-15T23:58:37Z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