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6-0756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$55.25。我们的Base模型认为每股价值约</w:t>
      </w:r>
      <w:r>
        <w:t xml:space="preserve"> </w:t>
      </w:r>
      <w:r>
        <w:rPr>
          <w:rFonts w:hint="eastAsia"/>
        </w:rPr>
        <w:t xml:space="preserve">$8（-84.9%）。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40.8%；m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40.8%；价格隐含增速</w:t>
      </w:r>
      <w:r>
        <w:t xml:space="preserve"> 108.6%。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$15；概率加权</w:t>
      </w:r>
      <w:r>
        <w:t xml:space="preserve"> $9。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250972da950a29760194a457007f96faaddbb9"/>
    <w:p>
      <w:pPr>
        <w:pStyle w:val="Heading1"/>
      </w:pPr>
      <w:r>
        <w:t xml:space="preserve">RKLB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$55.25; our Base model value ≈ $8 (-84.9%).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40.8%; m = long-run FCF margin = 15.0%; W = 13.2%.</w:t>
      </w:r>
      <w:r>
        <w:t xml:space="preserve"> </w:t>
      </w:r>
      <w:r>
        <w:t xml:space="preserve">R₁ = R₀×(1+g₁) = 1.1 bn USD; FCF₁ = -0.4 bn USD; PV = FCF₁/(1+W) = -0.3 bn USD; 10 years + terminal → EV 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40.8%; price-implied growth 108.6%.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$15; weighted $9.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2026-10-15T23:59:29Z</dcterms:created>
  <dcterms:modified xsi:type="dcterms:W3CDTF">2026-10-15T23:59:29Z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