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6-0756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$362.44。我们的Base模型认为每股价值约</w:t>
      </w:r>
      <w:r>
        <w:t xml:space="preserve"> </w:t>
      </w:r>
      <w:r>
        <w:rPr>
          <w:rFonts w:hint="eastAsia"/>
        </w:rPr>
        <w:t xml:space="preserve">$44（-87.8%）。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147.0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13.5%；价格隐含增速</w:t>
      </w:r>
      <w:r>
        <w:t xml:space="preserve"> 79.4%。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$44 / Bull </w:t>
      </w:r>
      <w:r>
        <w:rPr>
          <w:rFonts w:hint="eastAsia"/>
        </w:rPr>
        <w:t xml:space="preserve">$62；概率加权</w:t>
      </w:r>
      <w:r>
        <w:t xml:space="preserve"> $44。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4ea57f6a7c082a7460fb90f0f82fbd595ab9f4"/>
    <w:p>
      <w:pPr>
        <w:pStyle w:val="Heading1"/>
      </w:pPr>
      <w:r>
        <w:t xml:space="preserve">TSLA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$362.44; our Base model value ≈ $44 (-87.8%).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13.5%; m = long-run FCF margin = 10.0%; W = 13.2%.</w:t>
      </w:r>
      <w:r>
        <w:t xml:space="preserve"> </w:t>
      </w:r>
      <w:r>
        <w:t xml:space="preserve">R₁ = R₀×(1+g₁) = 117.6 bn USD; FCF₁ = 7.6 bn USD; PV = FCF₁/(1+W) = 6.7 bn USD; 10 years + terminal → EV 147.0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13.5%; price-implied growth 79.4%.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$44 / Bull $62; weighted $44.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2026-10-15T23:57:50Z</dcterms:created>
  <dcterms:modified xsi:type="dcterms:W3CDTF">2026-10-15T23:57:50Z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