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e067044884d219813e52cc42ce24e426bfeb99"/>
    <w:p>
      <w:pPr>
        <w:pStyle w:val="Heading1"/>
      </w:pPr>
      <w:r>
        <w:t xml:space="preserve">CHANGELOG v20261015-1805 — Fed Chair Warsh fireside chat pre-event</w:t>
      </w:r>
    </w:p>
    <w:p>
      <w:pPr>
        <w:pStyle w:val="Compact"/>
        <w:numPr>
          <w:ilvl w:val="0"/>
          <w:numId w:val="1001"/>
        </w:numPr>
      </w:pPr>
      <w:r>
        <w:t xml:space="preserve">2026-10-15 18:05 SGT: Initial lock (routine 17:50), before Thu PPI/retail data. Scenarios subjective (no base rate). 5 charts incl. phrase decoder.</w:t>
      </w:r>
    </w:p>
    <w:p>
      <w:pPr>
        <w:pStyle w:val="Compact"/>
        <w:numPr>
          <w:ilvl w:val="0"/>
          <w:numId w:val="1001"/>
        </w:numPr>
      </w:pPr>
      <w:r>
        <w:t xml:space="preserve">Status CONFIRMED via federalreserve.gov October 2026 calendar.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2026-10-15T10:05:54Z</dcterms:created>
  <dcterms:modified xsi:type="dcterms:W3CDTF">2026-10-15T10:05:54Z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