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eb50635b0b33a6376ec9b6149b6fa04f98cc8f0"/>
    <w:p>
      <w:pPr>
        <w:pStyle w:val="Heading1"/>
      </w:pPr>
      <w:r>
        <w:t xml:space="preserve">Fed Chair Warsh × IMF Georgieva Fireside Chat — Pre-Event Book, English twin (v20261015-1805)</w:t>
      </w:r>
    </w:p>
    <w:p>
      <w:pPr>
        <w:pStyle w:val="BlockText"/>
      </w:pPr>
      <w:r>
        <w:rPr>
          <w:b/>
          <w:bCs/>
        </w:rPr>
        <w:t xml:space="preserve">Time: Thu 2026-10-15 23:30 ET = Fri 2026-10-16 11:30 SGT</w:t>
      </w:r>
      <w:r>
        <w:t xml:space="preserve"> </w:t>
      </w:r>
      <w:r>
        <w:t xml:space="preserve">(Bangkok </w:t>
      </w:r>
      <w:r>
        <w:rPr>
          <w:rFonts w:hint="eastAsia"/>
        </w:rPr>
        <w:t xml:space="preserve">10:30)｜</w:t>
      </w:r>
      <w:r>
        <w:rPr>
          <w:b/>
          <w:bCs/>
        </w:rPr>
        <w:t xml:space="preserve">CONFIRMED</w:t>
      </w:r>
      <w:r>
        <w:t xml:space="preserve"> </w:t>
      </w:r>
      <w:r>
        <w:t xml:space="preserve">(federalreserve.gov October 2026 calendar, live-streamed). Last Chair appearance before the Oct 27–28 FOMC blackout (from Oct 17). Locked 2026-10-15 18:05 SGT, before tonight’s PPI/retail data. Not investment advice.</w:t>
      </w:r>
    </w:p>
    <w:bookmarkStart w:id="9" w:name="context-fact"/>
    <w:p>
      <w:pPr>
        <w:pStyle w:val="Heading2"/>
      </w:pPr>
      <w:r>
        <w:t xml:space="preserve">Context (FACT)</w:t>
      </w:r>
    </w:p>
    <w:p>
      <w:pPr>
        <w:pStyle w:val="FirstParagraph"/>
      </w:pPr>
      <w:r>
        <w:t xml:space="preserve">Sep 16: unanimous 25bp hike to 3.75–4.00% —</w:t>
      </w:r>
      <w:r>
        <w:t xml:space="preserve"> </w:t>
      </w:r>
      <w:r>
        <w:t xml:space="preserve">“removed a dose of accommodation”</w:t>
      </w:r>
      <w:r>
        <w:t xml:space="preserve">;</w:t>
      </w:r>
      <w:r>
        <w:t xml:space="preserve"> </w:t>
      </w:r>
      <w:r>
        <w:t xml:space="preserve">“I am not going to pre-judge any future decisions”</w:t>
      </w:r>
      <w:r>
        <w:t xml:space="preserve">; forward guidance dropped; five task forces (incl. productivity/AI, balance sheet). Sep CPI +0.6% / 3.7%, core +0.3% / 2.6%. Oct-28 hike odds 22% pre-CPI → 41.5% / 49% / 32.7% (FedWatch via Yahoo, WSJ, Cboe, 10/14).</w:t>
      </w:r>
    </w:p>
    <w:bookmarkEnd w:id="9"/>
    <w:bookmarkStart w:id="10" w:name="os-hypothesis"/>
    <w:p>
      <w:pPr>
        <w:pStyle w:val="Heading2"/>
      </w:pPr>
      <w:r>
        <w:t xml:space="preserve">OS hypothesis</w:t>
      </w:r>
    </w:p>
    <w:p>
      <w:pPr>
        <w:pStyle w:val="FirstParagraph"/>
      </w:pPr>
      <w:r>
        <w:t xml:space="preserve">Neutral 50% / Hawkish 30% / Dovish 20% (subjective; base rate unavailable — not calibrated). Hawkish tail &gt; dovish tail. Conditional: if tonight’s PPI and retail are both hot, even neutral wording will be read as not opposing October.</w:t>
      </w:r>
    </w:p>
    <w:bookmarkEnd w:id="10"/>
    <w:bookmarkStart w:id="11" w:name="scenarios"/>
    <w:p>
      <w:pPr>
        <w:pStyle w:val="Heading2"/>
      </w:pPr>
      <w:r>
        <w:t xml:space="preserve">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Trigger wording</w:t>
            </w:r>
          </w:p>
        </w:tc>
        <w:tc>
          <w:tcPr/>
          <w:p>
            <w:pPr>
              <w:pStyle w:val="Compact"/>
            </w:pPr>
            <w:r>
              <w:t xml:space="preserve">Prob</w:t>
            </w:r>
          </w:p>
        </w:tc>
        <w:tc>
          <w:tcPr/>
          <w:p>
            <w:pPr>
              <w:pStyle w:val="Compact"/>
            </w:pPr>
            <w:r>
              <w:t xml:space="preserve">Oct odds</w:t>
            </w:r>
          </w:p>
        </w:tc>
        <w:tc>
          <w:tcPr/>
          <w:p>
            <w:pPr>
              <w:pStyle w:val="Compact"/>
            </w:pPr>
            <w:r>
              <w:t xml:space="preserve">2Y</w:t>
            </w:r>
          </w:p>
        </w:tc>
        <w:tc>
          <w:tcPr/>
          <w:p>
            <w:pPr>
              <w:pStyle w:val="Compact"/>
            </w:pPr>
            <w:r>
              <w:t xml:space="preserve">USDJPY</w:t>
            </w:r>
          </w:p>
        </w:tc>
        <w:tc>
          <w:tcPr/>
          <w:p>
            <w:pPr>
              <w:pStyle w:val="Compact"/>
            </w:pPr>
            <w:r>
              <w:t xml:space="preserve">NQ / Asia tech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Hawkish</w:t>
            </w:r>
          </w:p>
        </w:tc>
        <w:tc>
          <w:tcPr/>
          <w:p>
            <w:pPr>
              <w:pStyle w:val="Compact"/>
            </w:pPr>
            <w:r>
              <w:t xml:space="preserve">inflation not moving</w:t>
            </w:r>
            <w:r>
              <w:t xml:space="preserve"> </w:t>
            </w:r>
            <w:r>
              <w:t xml:space="preserve">“clearly and at sufficient speed”</w:t>
            </w:r>
            <w:r>
              <w:t xml:space="preserve">; second-round energy; conditions</w:t>
            </w:r>
            <w:r>
              <w:t xml:space="preserve"> </w:t>
            </w:r>
            <w:r>
              <w:t xml:space="preserve">“not restrictive”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≥55%</w:t>
            </w:r>
          </w:p>
        </w:tc>
        <w:tc>
          <w:tcPr/>
          <w:p>
            <w:pPr>
              <w:pStyle w:val="Compact"/>
            </w:pPr>
            <w:r>
              <w:t xml:space="preserve">+3~+6bp</w:t>
            </w:r>
          </w:p>
        </w:tc>
        <w:tc>
          <w:tcPr/>
          <w:p>
            <w:pPr>
              <w:pStyle w:val="Compact"/>
            </w:pPr>
            <w:r>
              <w:t xml:space="preserve">+0.3~+0.6</w:t>
            </w:r>
          </w:p>
        </w:tc>
        <w:tc>
          <w:tcPr/>
          <w:p>
            <w:pPr>
              <w:pStyle w:val="Compact"/>
            </w:pPr>
            <w:r>
              <w:t xml:space="preserve">−0.5~−1%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“won’t pre-judge”</w:t>
            </w:r>
            <w:r>
              <w:t xml:space="preserve">; global/IMF/independence/AI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±5pp</w:t>
            </w:r>
          </w:p>
        </w:tc>
        <w:tc>
          <w:tcPr/>
          <w:p>
            <w:pPr>
              <w:pStyle w:val="Compact"/>
            </w:pPr>
            <w:r>
              <w:t xml:space="preserve">±2bp</w:t>
            </w:r>
          </w:p>
        </w:tc>
        <w:tc>
          <w:tcPr/>
          <w:p>
            <w:pPr>
              <w:pStyle w:val="Compact"/>
            </w:pPr>
            <w:r>
              <w:t xml:space="preserve">flat</w:t>
            </w:r>
          </w:p>
        </w:tc>
        <w:tc>
          <w:tcPr/>
          <w:p>
            <w:pPr>
              <w:pStyle w:val="Compact"/>
            </w:pPr>
            <w:r>
              <w:t xml:space="preserve">data/earnings-driven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Dovish</w:t>
            </w:r>
          </w:p>
        </w:tc>
        <w:tc>
          <w:tcPr/>
          <w:p>
            <w:pPr>
              <w:pStyle w:val="Compact"/>
            </w:pPr>
            <w:r>
              <w:t xml:space="preserve">look through energy; cumulative effect; AI supply-side disinflation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≤30%</w:t>
            </w:r>
          </w:p>
        </w:tc>
        <w:tc>
          <w:tcPr/>
          <w:p>
            <w:pPr>
              <w:pStyle w:val="Compact"/>
            </w:pPr>
            <w:r>
              <w:t xml:space="preserve">−3~−6bp</w:t>
            </w:r>
          </w:p>
        </w:tc>
        <w:tc>
          <w:tcPr/>
          <w:p>
            <w:pPr>
              <w:pStyle w:val="Compact"/>
            </w:pPr>
            <w:r>
              <w:t xml:space="preserve">−0.3~−0.6</w:t>
            </w:r>
          </w:p>
        </w:tc>
        <w:tc>
          <w:tcPr/>
          <w:p>
            <w:pPr>
              <w:pStyle w:val="Compact"/>
            </w:pPr>
            <w:r>
              <w:t xml:space="preserve">+0.3~+0.8%</w:t>
            </w:r>
          </w:p>
        </w:tc>
      </w:tr>
    </w:tbl>
    <w:bookmarkEnd w:id="11"/>
    <w:bookmarkStart w:id="12" w:name="live-checklist-from-1130-sgt-fri"/>
    <w:p>
      <w:pPr>
        <w:pStyle w:val="Heading2"/>
      </w:pPr>
      <w:r>
        <w:t xml:space="preserve">Live checklist (from 11:30 SGT Fri)</w:t>
      </w:r>
    </w:p>
    <w:p>
      <w:pPr>
        <w:pStyle w:val="FirstParagraph"/>
      </w:pPr>
      <w:r>
        <w:t xml:space="preserve">Mentions of October/next meeting; the inflation-bar phrase;</w:t>
      </w:r>
      <w:r>
        <w:t xml:space="preserve"> </w:t>
      </w:r>
      <w:r>
        <w:t xml:space="preserve">“look through”</w:t>
      </w:r>
      <w:r>
        <w:t xml:space="preserve"> </w:t>
      </w:r>
      <w:r>
        <w:t xml:space="preserve">vs</w:t>
      </w:r>
      <w:r>
        <w:t xml:space="preserve"> </w:t>
      </w:r>
      <w:r>
        <w:t xml:space="preserve">“second-round”</w:t>
      </w:r>
      <w:r>
        <w:t xml:space="preserve">; financial conditions; 2Y futures ±3bp in 15 min; USD/JPY ±0.3; TSM/Korea memory (confounded by TSMC results); AI productivity framing; balance sheet.</w:t>
      </w:r>
    </w:p>
    <w:bookmarkEnd w:id="12"/>
    <w:bookmarkStart w:id="13" w:name="affected-names"/>
    <w:p>
      <w:pPr>
        <w:pStyle w:val="Heading2"/>
      </w:pPr>
      <w:r>
        <w:t xml:space="preserve">Affected names</w:t>
      </w:r>
    </w:p>
    <w:p>
      <w:pPr>
        <w:pStyle w:val="FirstParagraph"/>
      </w:pPr>
      <w:r>
        <w:t xml:space="preserve">Asia first: TSM, Korea memory (MU/SIMO read-across), Nikkei via USD/JPY. US rate-sensitive: ARM, PLTR, RKLB, CRWV, CRWD, MRVL, TSLA. AI capex chain: NVDA, AVGO, AMD, EME, PWR. Consumer: CCL.</w:t>
      </w:r>
    </w:p>
    <w:bookmarkEnd w:id="13"/>
    <w:bookmarkStart w:id="14" w:name="falsifiers"/>
    <w:p>
      <w:pPr>
        <w:pStyle w:val="Heading2"/>
      </w:pPr>
      <w:r>
        <w:t xml:space="preserve">Falsifiers</w:t>
      </w:r>
    </w:p>
    <w:p>
      <w:pPr>
        <w:pStyle w:val="Compact"/>
        <w:numPr>
          <w:ilvl w:val="0"/>
          <w:numId w:val="1001"/>
        </w:numPr>
      </w:pPr>
      <w:r>
        <w:t xml:space="preserve">Hawkish words but 2Y &lt;+2bp → priced/committee &gt; chair. 2. Market moves on a non-policy chat → other drivers; chain invalid that day. 3. Dovish words + 10Y up → term-premium fear. 4. Explicit path guidance despite our 50% neutral → calibration error.</w:t>
      </w:r>
    </w:p>
    <w:bookmarkEnd w:id="14"/>
    <w:bookmarkStart w:id="15" w:name="self-challenge"/>
    <w:p>
      <w:pPr>
        <w:pStyle w:val="Heading2"/>
      </w:pPr>
      <w:r>
        <w:t xml:space="preserve">Self-challenge</w:t>
      </w:r>
    </w:p>
    <w:p>
      <w:pPr>
        <w:pStyle w:val="FirstParagraph"/>
      </w:pPr>
      <w:r>
        <w:t xml:space="preserve">“Neutral 50%”</w:t>
      </w:r>
      <w:r>
        <w:t xml:space="preserve"> </w:t>
      </w:r>
      <w:r>
        <w:t xml:space="preserve">is subjective; we may over-weight one person on a committee; thin Asian liquidity may exaggerate first moves.</w:t>
      </w:r>
    </w:p>
    <w:p>
      <w:pPr>
        <w:pStyle w:val="BodyText"/>
      </w:pPr>
      <w:r>
        <w:t xml:space="preserve">Sources: federalreserve.gov calendar &amp; 9/16 transcript; CNBC; WSJ; Cboe; Reuters; FRED. Charts in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2026-10-15T10:05:54Z</dcterms:created>
  <dcterms:modified xsi:type="dcterms:W3CDTF">2026-10-15T10:05:54Z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