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6"/>
    <w:p>
      <w:pPr>
        <w:pStyle w:val="Heading1"/>
      </w:pPr>
      <w:r>
        <w:t xml:space="preserve">Master Prompt Changelog v2026-10-16</w:t>
      </w:r>
    </w:p>
    <w:p>
      <w:pPr>
        <w:pStyle w:val="FirstParagraph"/>
      </w:pPr>
      <w:r>
        <w:t xml:space="preserve">ADDED Part G (user-approved): concrete high-volatility regime (VIX&gt;20 OR MOVE&gt;110/&gt;1y P80 OR last 3 macro releases in tails); middle scenario capped at 45% in high regime with redistribution to tails + renormalisation; scenarios defined on decision-relevant variables (core, control group) not headline; TSM lesson — Beat split into sector-tailwind vs sector-headwind. Implemented in pipeline/calibration.py and all pre-event builders; logged in Model Evolution (included in this version folder). v2026-10-14 preserved.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2026-10-16T04:32:04Z</dcterms:created>
  <dcterms:modified xsi:type="dcterms:W3CDTF">2026-10-16T04:32:04Z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