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sz w:val="24"/>
        </w:rPr>
        <w:t>MRI Symposium Abstract (draft)</w:t>
      </w:r>
    </w:p>
    <w:p>
      <w:pPr>
        <w:spacing w:after="120"/>
      </w:pPr>
      <w:r>
        <w:rPr>
          <w:rFonts w:ascii="Times New Roman" w:hAnsi="Times New Roman"/>
          <w:sz w:val="24"/>
        </w:rPr>
        <w:t>Title: Miniature Kolsky Bar Experiments Coupled with an Abaqus Digital Twin for High Strain Rate Material Characterization</w:t>
      </w:r>
    </w:p>
    <w:p>
      <w:pPr>
        <w:spacing w:after="120"/>
      </w:pPr>
      <w:r>
        <w:rPr>
          <w:rFonts w:ascii="Times New Roman" w:hAnsi="Times New Roman"/>
          <w:sz w:val="24"/>
        </w:rPr>
        <w:t>Authors: [coauthors TBD]; Reuben H. Kraft (Penn State)</w:t>
      </w:r>
    </w:p>
    <w:p>
      <w:pPr>
        <w:spacing w:after="120"/>
      </w:pPr>
      <w:r>
        <w:rPr>
          <w:rFonts w:ascii="Times New Roman" w:hAnsi="Times New Roman"/>
          <w:sz w:val="24"/>
        </w:rPr>
        <w:t>Affiliations: The Pennsylvania State University; Los Alamos National Laboratory</w:t>
      </w:r>
    </w:p>
    <w:p>
      <w:pPr>
        <w:spacing w:after="120"/>
      </w:pPr>
      <w:r>
        <w:rPr>
          <w:rFonts w:ascii="Times New Roman" w:hAnsi="Times New Roman"/>
          <w:sz w:val="24"/>
        </w:rPr>
        <w:t>Abstract</w:t>
      </w:r>
    </w:p>
    <w:p>
      <w:pPr>
        <w:spacing w:after="120"/>
      </w:pPr>
      <w:r>
        <w:rPr>
          <w:rFonts w:ascii="Times New Roman" w:hAnsi="Times New Roman"/>
          <w:sz w:val="24"/>
        </w:rPr>
        <w:t>Connecting quantitative imaging to the mechanical response of materials under extreme loading remains a core challenge for both materials science and biomedical imaging communities. This work presents an integrated experimental and computational framework for high strain rate characterization that pairs a miniature Kolsky (split Hopkinson pressure) bar with an Abaqus Explicit digital twin of the full bar and specimen assembly.</w:t>
      </w:r>
    </w:p>
    <w:p>
      <w:pPr>
        <w:spacing w:after="120"/>
      </w:pPr>
      <w:r>
        <w:rPr>
          <w:rFonts w:ascii="Times New Roman" w:hAnsi="Times New Roman"/>
          <w:sz w:val="24"/>
        </w:rPr>
        <w:t>The experimental facility uses maraging steel bars of diameter 3.17 mm, high frequency strain instrumentation, and pulse shaping to reach strain rates from about 10^3 to 10^5 per second while improving stress equilibrium and reducing high frequency wave oscillations. Ultra high speed imaging and in situ digital image correlation capture localization, shear banding, and micro cracking during the event. Complementary micro CT and related imaging support specimen geometry and damage interpretation.</w:t>
      </w:r>
    </w:p>
    <w:p>
      <w:pPr>
        <w:spacing w:after="120"/>
      </w:pPr>
      <w:r>
        <w:rPr>
          <w:rFonts w:ascii="Times New Roman" w:hAnsi="Times New Roman"/>
          <w:sz w:val="24"/>
        </w:rPr>
        <w:t>On the computational side, a three dimensional finite element digital twin models stress wave propagation, contact, inertia, and friction so that virtual equilibrium checks and pulse shaper design can be performed before and after shots. Experiments then calibrate and validate rate dependent constitutive models. The resulting loop couples physical tests, tailored incident pulses, digital twin analysis, and a growing constitutive library.</w:t>
      </w:r>
    </w:p>
    <w:p>
      <w:pPr>
        <w:spacing w:after="120"/>
      </w:pPr>
      <w:r>
        <w:rPr>
          <w:rFonts w:ascii="Times New Roman" w:hAnsi="Times New Roman"/>
          <w:sz w:val="24"/>
        </w:rPr>
        <w:t>Looking forward, the same imaging and automation concepts motivate a high throughput pathway in which robotics, computer vision alignment, and Bayesian active learning could increase dynamic testing cadence while preserving measurement quality. The poster emphasizes how high speed and volumetric imaging strengthen both the experiment and the twin, and how that coupling can inform materials for impact and penetration resistance.</w:t>
      </w:r>
    </w:p>
    <w:p>
      <w:pPr>
        <w:spacing w:after="120"/>
      </w:pPr>
      <w:r>
        <w:rPr>
          <w:rFonts w:ascii="Times New Roman" w:hAnsi="Times New Roman"/>
          <w:sz w:val="24"/>
        </w:rPr>
        <w:t>Keywords: Kolsky bar; high strain rate; digital twin; high speed imaging; DIC; micro CT; constitutive modeling</w:t>
      </w:r>
    </w:p>
    <w:p>
      <w:pPr>
        <w:spacing w:after="120"/>
      </w:pPr>
      <w:r>
        <w:rPr>
          <w:rFonts w:ascii="Times New Roman" w:hAnsi="Times New Roman"/>
          <w:sz w:val="24"/>
        </w:rPr>
        <w:t>Notes for submission: fill coauthors; confirm symposium word limit and deadline from the invitation email; align title with any required MRI symposium theme if imaging emphasis should be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