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BCE8" w14:textId="77777777" w:rsidR="005C121A" w:rsidRPr="00AD0657" w:rsidRDefault="00000000" w:rsidP="00AD0657">
      <w:pPr>
        <w:spacing w:after="160"/>
        <w:jc w:val="center"/>
        <w:rPr>
          <w:rFonts w:ascii="Times New Roman" w:hAnsi="Times New Roman" w:cs="Times New Roman"/>
          <w:color w:val="auto"/>
          <w:sz w:val="24"/>
          <w:szCs w:val="24"/>
        </w:rPr>
      </w:pPr>
      <w:r w:rsidRPr="00AD0657">
        <w:rPr>
          <w:rFonts w:ascii="Times New Roman" w:hAnsi="Times New Roman" w:cs="Times New Roman"/>
          <w:b/>
          <w:color w:val="auto"/>
          <w:sz w:val="40"/>
          <w:szCs w:val="24"/>
        </w:rPr>
        <w:t>CLINICAL LUNG SOUND ANALYSIS AND RESPIRATORY DISEASE DIAGNOSIS VIA SPATIAL-TEMPORAL DEEP LEARNING</w:t>
      </w:r>
    </w:p>
    <w:p w14:paraId="3008FB21" w14:textId="0CF1E0DA" w:rsidR="005C121A" w:rsidRPr="00AD0657" w:rsidRDefault="00000000">
      <w:pPr>
        <w:spacing w:after="240"/>
        <w:jc w:val="center"/>
        <w:rPr>
          <w:rFonts w:ascii="Times New Roman" w:hAnsi="Times New Roman" w:cs="Times New Roman"/>
          <w:color w:val="auto"/>
          <w:sz w:val="24"/>
          <w:szCs w:val="24"/>
        </w:rPr>
      </w:pPr>
      <w:r w:rsidRPr="00AD0657">
        <w:rPr>
          <w:rFonts w:ascii="Times New Roman" w:hAnsi="Times New Roman" w:cs="Times New Roman"/>
          <w:i/>
          <w:color w:val="auto"/>
          <w:sz w:val="28"/>
          <w:szCs w:val="24"/>
        </w:rPr>
        <w:t>Comprehensive Technical Report: Baseline vs. SOTA Comparative Performance</w:t>
      </w:r>
    </w:p>
    <w:p w14:paraId="09CCE3C6" w14:textId="36AB7162" w:rsidR="005C121A" w:rsidRPr="00AD0657" w:rsidRDefault="00000000" w:rsidP="00AD0657">
      <w:pPr>
        <w:rPr>
          <w:rFonts w:ascii="Times New Roman" w:hAnsi="Times New Roman" w:cs="Times New Roman"/>
          <w:color w:val="auto"/>
          <w:sz w:val="24"/>
          <w:szCs w:val="24"/>
        </w:rPr>
      </w:pPr>
      <w:r w:rsidRPr="00AD0657">
        <w:rPr>
          <w:rFonts w:ascii="Times New Roman" w:hAnsi="Times New Roman" w:cs="Times New Roman"/>
          <w:b/>
          <w:color w:val="auto"/>
          <w:sz w:val="32"/>
          <w:szCs w:val="24"/>
        </w:rPr>
        <w:t>1. Executive Summary &amp; Clinical Objectives</w:t>
      </w:r>
    </w:p>
    <w:p w14:paraId="4E28DA90" w14:textId="1055A3E7" w:rsidR="00AD0657"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 xml:space="preserve">Lung auscultation using acoustic stethoscopes is a cornerstone of pulmonary physical examination. Despite its ubiquity, the clinical utility of traditional auscultation is severely hampered by subjective interpretation, variations in human auditory sensitivity, and environmental acoustic noise. In resource-constrained or remote settings, the lack of experienced pulmonologists leads to delayed detection of chronic respiratory diseases, contributing to increased morbidity. To address these limitations, this project designs and develops an automated lung sound analysis and prediction system leveraging state-of-the-art spatial-temporal deep learning and transfer learning frameworks. </w:t>
      </w:r>
    </w:p>
    <w:p w14:paraId="43B8EE6F" w14:textId="77777777" w:rsidR="00AD0657"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The system processes chest recordings from the ICBHI 2017 database and is optimized to satisfy two distinct clinical goals:</w:t>
      </w:r>
    </w:p>
    <w:p w14:paraId="7F0DC84F" w14:textId="620A5787" w:rsidR="00AD0657" w:rsidRPr="00AD0657" w:rsidRDefault="00000000" w:rsidP="00AD0657">
      <w:pPr>
        <w:pStyle w:val="ListParagraph"/>
        <w:numPr>
          <w:ilvl w:val="0"/>
          <w:numId w:val="10"/>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Cycle-Level Anomaly Detection: Classify individual respiratory cycles into four acoustic states</w:t>
      </w:r>
      <w:r w:rsidR="00AD0657">
        <w:rPr>
          <w:rFonts w:ascii="Times New Roman" w:hAnsi="Times New Roman" w:cs="Times New Roman"/>
          <w:color w:val="auto"/>
          <w:sz w:val="24"/>
          <w:szCs w:val="24"/>
        </w:rPr>
        <w:t xml:space="preserve"> - </w:t>
      </w:r>
      <w:r w:rsidRPr="00AD0657">
        <w:rPr>
          <w:rFonts w:ascii="Times New Roman" w:hAnsi="Times New Roman" w:cs="Times New Roman"/>
          <w:color w:val="auto"/>
          <w:sz w:val="24"/>
          <w:szCs w:val="24"/>
        </w:rPr>
        <w:t>Normal, Crackles (transient, discontinuous sounds indicating fluid accumulation), Wheezes (continuous, high-pitched harmonic sounds indicating airway obstruction), or Both (co-occurring crackles and wheezes).</w:t>
      </w:r>
    </w:p>
    <w:p w14:paraId="7FF30C3C" w14:textId="64ED48FE" w:rsidR="00AD0657" w:rsidRPr="00AD0657" w:rsidRDefault="00000000" w:rsidP="00AD0657">
      <w:pPr>
        <w:pStyle w:val="ListParagraph"/>
        <w:numPr>
          <w:ilvl w:val="0"/>
          <w:numId w:val="10"/>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Patient-Level Pathology Diagnosis: Predict the overall clinical diagnosis of the subject into three diagnostic categories</w:t>
      </w:r>
      <w:r w:rsidR="00AD0657">
        <w:rPr>
          <w:rFonts w:ascii="Times New Roman" w:hAnsi="Times New Roman" w:cs="Times New Roman"/>
          <w:color w:val="auto"/>
          <w:sz w:val="24"/>
          <w:szCs w:val="24"/>
        </w:rPr>
        <w:t xml:space="preserve"> -</w:t>
      </w:r>
      <w:r w:rsidR="0093078B">
        <w:rPr>
          <w:rFonts w:ascii="Times New Roman" w:hAnsi="Times New Roman" w:cs="Times New Roman"/>
          <w:color w:val="auto"/>
          <w:sz w:val="24"/>
          <w:szCs w:val="24"/>
        </w:rPr>
        <w:t xml:space="preserve"> </w:t>
      </w:r>
      <w:r w:rsidRPr="00AD0657">
        <w:rPr>
          <w:rFonts w:ascii="Times New Roman" w:hAnsi="Times New Roman" w:cs="Times New Roman"/>
          <w:color w:val="auto"/>
          <w:sz w:val="24"/>
          <w:szCs w:val="24"/>
        </w:rPr>
        <w:t>COPD (Chronic Obstructive Pulmonary Disease), URTI (Upper Respiratory Tract Infection), or Healthy.</w:t>
      </w:r>
    </w:p>
    <w:p w14:paraId="146C7856" w14:textId="2A2958A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The project achieves publication-grade benchmark scores (92.36% pathology diagnosis accuracy, 46.23% calibrated ICBHI cycle score, and 2.35 ms/cycle edge latency) by implementing a robust multi-branch time-frequency representation, spatial-temporal sequence modeling, SOTA loss functions, GPU augmentations, and decision threshold calibration.</w:t>
      </w:r>
    </w:p>
    <w:p w14:paraId="2051487F" w14:textId="77777777" w:rsidR="005C121A" w:rsidRPr="00AD0657" w:rsidRDefault="00000000">
      <w:pPr>
        <w:keepNext/>
        <w:spacing w:before="360" w:after="120"/>
        <w:rPr>
          <w:rFonts w:ascii="Times New Roman" w:hAnsi="Times New Roman" w:cs="Times New Roman"/>
          <w:color w:val="auto"/>
          <w:sz w:val="24"/>
          <w:szCs w:val="24"/>
        </w:rPr>
      </w:pPr>
      <w:r w:rsidRPr="00AD0657">
        <w:rPr>
          <w:rFonts w:ascii="Times New Roman" w:hAnsi="Times New Roman" w:cs="Times New Roman"/>
          <w:b/>
          <w:color w:val="auto"/>
          <w:sz w:val="32"/>
          <w:szCs w:val="24"/>
        </w:rPr>
        <w:t>2. End-to-End Methodology</w:t>
      </w:r>
    </w:p>
    <w:p w14:paraId="6956EE06"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2.1 Preprocessing and Bandpass Filtering</w:t>
      </w:r>
    </w:p>
    <w:p w14:paraId="46F65DBB"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 xml:space="preserve">Chest auscultation audio is characterized by low-amplitude signals contaminated by extraneous friction noise (muscle contractions, chest wall movements, and stethoscope sliding). The preprocessing pipeline resamples the raw 1D audio to a standardized sample rate of 4000 Hz, which isolates the primary diagnostic spectrum of lung sounds (100 Hz to 2000 Hz) while </w:t>
      </w:r>
      <w:r w:rsidRPr="00AD0657">
        <w:rPr>
          <w:rFonts w:ascii="Times New Roman" w:hAnsi="Times New Roman" w:cs="Times New Roman"/>
          <w:color w:val="auto"/>
          <w:sz w:val="24"/>
          <w:szCs w:val="24"/>
        </w:rPr>
        <w:lastRenderedPageBreak/>
        <w:t>significantly reducing computational memory overhead. A 2nd-order digital Butterworth bandpass filter with cutoff frequencies at 100 Hz and 2000 Hz is applied. This filtering suppresses low-frequency heart beats (&lt;100 Hz) and high-frequency ambient noise (&gt;2000 Hz). Using the annotated cycle timestamps, the continuous audio is segmented into individual respiratory cycles. Cycle durations are standardized to 3.0 seconds; cycles shorter than 3.0s are padded with silent boundary zeros, and cycles longer than 3.0s are symmetrically truncated to preserve the central breathing dynamics.</w:t>
      </w:r>
    </w:p>
    <w:p w14:paraId="7476AAF1"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2.2 Multi-Branch Feature Fusion (Mel, CQT, CWT)</w:t>
      </w:r>
    </w:p>
    <w:p w14:paraId="14B82FC8" w14:textId="7E163673" w:rsidR="00AD0657"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Non-stationary acoustic events in lung sounds exhibit distinct physical behaviors. Crackles are brief (</w:t>
      </w:r>
      <w:r w:rsidR="00AD0657" w:rsidRPr="00AD0657">
        <w:rPr>
          <w:rFonts w:ascii="Times New Roman" w:hAnsi="Times New Roman" w:cs="Times New Roman"/>
          <w:color w:val="auto"/>
          <w:sz w:val="24"/>
          <w:szCs w:val="24"/>
        </w:rPr>
        <w:t xml:space="preserve">&lt;20 </w:t>
      </w:r>
      <w:proofErr w:type="spellStart"/>
      <w:r w:rsidR="00AD0657" w:rsidRPr="00AD0657">
        <w:rPr>
          <w:rFonts w:ascii="Times New Roman" w:hAnsi="Times New Roman" w:cs="Times New Roman"/>
          <w:color w:val="auto"/>
          <w:sz w:val="24"/>
          <w:szCs w:val="24"/>
        </w:rPr>
        <w:t>ms</w:t>
      </w:r>
      <w:proofErr w:type="spellEnd"/>
      <w:r w:rsidRPr="00AD0657">
        <w:rPr>
          <w:rFonts w:ascii="Times New Roman" w:hAnsi="Times New Roman" w:cs="Times New Roman"/>
          <w:color w:val="auto"/>
          <w:sz w:val="24"/>
          <w:szCs w:val="24"/>
        </w:rPr>
        <w:t>), transient, explosive acoustic impulses, requiring high temporal resolution. Wheezes are continuous (&gt;100</w:t>
      </w:r>
      <w:r w:rsidR="00AD0657" w:rsidRPr="00AD0657">
        <w:rPr>
          <w:rFonts w:ascii="Times New Roman" w:hAnsi="Times New Roman" w:cs="Times New Roman"/>
          <w:color w:val="auto"/>
          <w:sz w:val="24"/>
          <w:szCs w:val="24"/>
        </w:rPr>
        <w:t xml:space="preserve"> </w:t>
      </w:r>
      <w:proofErr w:type="spellStart"/>
      <w:r w:rsidRPr="00AD0657">
        <w:rPr>
          <w:rFonts w:ascii="Times New Roman" w:hAnsi="Times New Roman" w:cs="Times New Roman"/>
          <w:color w:val="auto"/>
          <w:sz w:val="24"/>
          <w:szCs w:val="24"/>
        </w:rPr>
        <w:t>ms</w:t>
      </w:r>
      <w:proofErr w:type="spellEnd"/>
      <w:r w:rsidRPr="00AD0657">
        <w:rPr>
          <w:rFonts w:ascii="Times New Roman" w:hAnsi="Times New Roman" w:cs="Times New Roman"/>
          <w:color w:val="auto"/>
          <w:sz w:val="24"/>
          <w:szCs w:val="24"/>
        </w:rPr>
        <w:t>), sinusoidal, harmonic tones, requiring high frequency resolution. Standard Mel Spectrograms utilize log-spaced frequency binning but operate under a fixed short-time Fourier window, failing to capture both transients and narrow-band harmonics simultaneously. To overcome this Fourier bottleneck, we construct a 3-channel stacked feature tensor of shape (3, 128, 128) combining parallel branches:</w:t>
      </w:r>
    </w:p>
    <w:p w14:paraId="6B26FFEC" w14:textId="77777777" w:rsidR="00AD0657" w:rsidRPr="00AD0657" w:rsidRDefault="00000000" w:rsidP="00AD0657">
      <w:pPr>
        <w:pStyle w:val="ListParagraph"/>
        <w:numPr>
          <w:ilvl w:val="0"/>
          <w:numId w:val="11"/>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Channel 1 (Mel Spectrogram): Extracted with 64 bins, a window length of 1024 samples, and hop length of 512, capturing the gross acoustic envelope of the breath cycle.</w:t>
      </w:r>
    </w:p>
    <w:p w14:paraId="2610D4DF" w14:textId="7EF420D7" w:rsidR="00AD0657" w:rsidRPr="00AD0657" w:rsidRDefault="00000000" w:rsidP="00AD0657">
      <w:pPr>
        <w:pStyle w:val="ListParagraph"/>
        <w:numPr>
          <w:ilvl w:val="0"/>
          <w:numId w:val="11"/>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Channel 2 (Constant-Q Transform): Extracted with 84 bins, 12 bins per octave, and a filter scaling factor (Q) optimized for geometrical frequency spacing. This provides fine frequency resolution at lower registers, isolating continuous wheeze harmonics.</w:t>
      </w:r>
    </w:p>
    <w:p w14:paraId="0788E1DB" w14:textId="3A6DEC59" w:rsidR="005C121A" w:rsidRPr="00AD0657" w:rsidRDefault="00000000" w:rsidP="00AD0657">
      <w:pPr>
        <w:pStyle w:val="ListParagraph"/>
        <w:numPr>
          <w:ilvl w:val="0"/>
          <w:numId w:val="11"/>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Channel 3 (Continuous Wavelet Transform): Computed using the Mexican Hat (mexh) mother wavelet over 128 scales. CWT optimizes the time-frequency uncertainty principle, yielding high temporal resolution at high frequencies to isolate sharp, impulsive crackle clicks.</w:t>
      </w:r>
    </w:p>
    <w:p w14:paraId="294D3D3E"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2.3 Deep Learning Architectures &amp; Spatio-Temporal Modeling</w:t>
      </w:r>
    </w:p>
    <w:p w14:paraId="31AE9A1D" w14:textId="77777777" w:rsidR="00AD0657" w:rsidRPr="00AD0657" w:rsidRDefault="00000000">
      <w:pPr>
        <w:spacing w:after="160"/>
        <w:rPr>
          <w:rFonts w:ascii="Times New Roman" w:hAnsi="Times New Roman" w:cs="Times New Roman"/>
          <w:color w:val="auto"/>
          <w:sz w:val="24"/>
          <w:szCs w:val="24"/>
        </w:rPr>
      </w:pPr>
      <w:r w:rsidRPr="00AD0657">
        <w:rPr>
          <w:rFonts w:ascii="Times New Roman" w:hAnsi="Times New Roman" w:cs="Times New Roman"/>
          <w:color w:val="auto"/>
          <w:sz w:val="24"/>
          <w:szCs w:val="24"/>
        </w:rPr>
        <w:t>We implement and evaluate two main network architectures to classify the 3D stacked representation maps:</w:t>
      </w:r>
    </w:p>
    <w:p w14:paraId="2D01A550" w14:textId="77777777" w:rsidR="00AD0657" w:rsidRPr="00AD0657" w:rsidRDefault="00000000" w:rsidP="00AD0657">
      <w:pPr>
        <w:pStyle w:val="ListParagraph"/>
        <w:numPr>
          <w:ilvl w:val="0"/>
          <w:numId w:val="12"/>
        </w:num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Baseline 2D CNN: A modified ResNet-18 network where the input convolutional layer weights are expanded from 3 (standard RGB) to adapt to variable channel configuration shapes, extracting static spatial features from the representation maps.</w:t>
      </w:r>
    </w:p>
    <w:p w14:paraId="13332D39" w14:textId="6FF11D09" w:rsidR="005C121A" w:rsidRPr="0093078B" w:rsidRDefault="00000000" w:rsidP="0093078B">
      <w:pPr>
        <w:pStyle w:val="ListParagraph"/>
        <w:numPr>
          <w:ilvl w:val="0"/>
          <w:numId w:val="12"/>
        </w:numPr>
        <w:spacing w:after="160"/>
        <w:jc w:val="both"/>
        <w:rPr>
          <w:rFonts w:ascii="Times New Roman" w:hAnsi="Times New Roman" w:cs="Times New Roman"/>
          <w:color w:val="auto"/>
          <w:sz w:val="24"/>
          <w:szCs w:val="24"/>
          <w:lang w:val="en-IN"/>
        </w:rPr>
      </w:pPr>
      <w:r w:rsidRPr="00AD0657">
        <w:rPr>
          <w:rFonts w:ascii="Times New Roman" w:hAnsi="Times New Roman" w:cs="Times New Roman"/>
          <w:color w:val="auto"/>
          <w:sz w:val="24"/>
          <w:szCs w:val="24"/>
        </w:rPr>
        <w:t xml:space="preserve">Spatial-Temporal Hybrid Model (CNN-LSTM): This architecture captures the temporal dynamics of the breathing cycle (inhalation/exhalation). The output feature map from the </w:t>
      </w:r>
      <w:proofErr w:type="spellStart"/>
      <w:r w:rsidRPr="00AD0657">
        <w:rPr>
          <w:rFonts w:ascii="Times New Roman" w:hAnsi="Times New Roman" w:cs="Times New Roman"/>
          <w:color w:val="auto"/>
          <w:sz w:val="24"/>
          <w:szCs w:val="24"/>
        </w:rPr>
        <w:t>ResNet</w:t>
      </w:r>
      <w:proofErr w:type="spellEnd"/>
      <w:r w:rsidRPr="00AD0657">
        <w:rPr>
          <w:rFonts w:ascii="Times New Roman" w:hAnsi="Times New Roman" w:cs="Times New Roman"/>
          <w:color w:val="auto"/>
          <w:sz w:val="24"/>
          <w:szCs w:val="24"/>
        </w:rPr>
        <w:t xml:space="preserve"> backbone (shape: </w:t>
      </w:r>
      <w:r w:rsidR="0093078B" w:rsidRPr="0093078B">
        <w:rPr>
          <w:rFonts w:ascii="Times New Roman" w:hAnsi="Times New Roman" w:cs="Times New Roman"/>
          <w:color w:val="auto"/>
          <w:sz w:val="24"/>
          <w:szCs w:val="24"/>
          <w:lang w:val="en-IN"/>
        </w:rPr>
        <w:t>512 (backbone feature channels)</w:t>
      </w:r>
      <w:r w:rsidR="0093078B" w:rsidRPr="0093078B">
        <w:rPr>
          <w:rFonts w:ascii="Times New Roman" w:hAnsi="Times New Roman" w:cs="Times New Roman"/>
          <w:color w:val="auto"/>
          <w:sz w:val="24"/>
          <w:szCs w:val="24"/>
          <w:lang w:val="en-IN"/>
        </w:rPr>
        <w:t xml:space="preserve">, </w:t>
      </w:r>
      <w:r w:rsidR="0093078B" w:rsidRPr="0093078B">
        <w:rPr>
          <w:rFonts w:ascii="Times New Roman" w:hAnsi="Times New Roman" w:cs="Times New Roman"/>
          <w:color w:val="auto"/>
          <w:sz w:val="24"/>
          <w:szCs w:val="24"/>
          <w:lang w:val="en-IN"/>
        </w:rPr>
        <w:t>4 (feature map height)</w:t>
      </w:r>
      <w:r w:rsidR="0093078B" w:rsidRPr="0093078B">
        <w:rPr>
          <w:rFonts w:ascii="Times New Roman" w:hAnsi="Times New Roman" w:cs="Times New Roman"/>
          <w:color w:val="auto"/>
          <w:sz w:val="24"/>
          <w:szCs w:val="24"/>
          <w:lang w:val="en-IN"/>
        </w:rPr>
        <w:t xml:space="preserve">, </w:t>
      </w:r>
      <w:r w:rsidR="0093078B" w:rsidRPr="0093078B">
        <w:rPr>
          <w:rFonts w:ascii="Times New Roman" w:hAnsi="Times New Roman" w:cs="Times New Roman"/>
          <w:color w:val="auto"/>
          <w:sz w:val="24"/>
          <w:szCs w:val="24"/>
          <w:lang w:val="en-IN"/>
        </w:rPr>
        <w:t>4 (feature map width)</w:t>
      </w:r>
      <w:r w:rsidRPr="0093078B">
        <w:rPr>
          <w:rFonts w:ascii="Times New Roman" w:hAnsi="Times New Roman" w:cs="Times New Roman"/>
          <w:color w:val="auto"/>
          <w:sz w:val="24"/>
          <w:szCs w:val="24"/>
        </w:rPr>
        <w:t>) is averaged along the height dimension to produce a sequence of width 4 (</w:t>
      </w:r>
      <w:r w:rsidR="0093078B" w:rsidRPr="0093078B">
        <w:rPr>
          <w:rFonts w:ascii="Times New Roman" w:hAnsi="Times New Roman" w:cs="Times New Roman"/>
          <w:color w:val="auto"/>
          <w:sz w:val="24"/>
          <w:szCs w:val="24"/>
        </w:rPr>
        <w:t>4</w:t>
      </w:r>
      <w:r w:rsidR="0093078B">
        <w:rPr>
          <w:rFonts w:ascii="Times New Roman" w:hAnsi="Times New Roman" w:cs="Times New Roman"/>
          <w:color w:val="auto"/>
          <w:sz w:val="24"/>
          <w:szCs w:val="24"/>
        </w:rPr>
        <w:t xml:space="preserve"> (</w:t>
      </w:r>
      <w:r w:rsidR="0093078B" w:rsidRPr="0093078B">
        <w:rPr>
          <w:rFonts w:ascii="Times New Roman" w:hAnsi="Times New Roman" w:cs="Times New Roman"/>
          <w:color w:val="auto"/>
          <w:sz w:val="24"/>
          <w:szCs w:val="24"/>
        </w:rPr>
        <w:t>sequence length/width)</w:t>
      </w:r>
      <w:r w:rsidR="0093078B" w:rsidRPr="0093078B">
        <w:rPr>
          <w:rFonts w:ascii="Times New Roman" w:hAnsi="Times New Roman" w:cs="Times New Roman"/>
          <w:color w:val="auto"/>
          <w:sz w:val="24"/>
          <w:szCs w:val="24"/>
        </w:rPr>
        <w:t>, 512</w:t>
      </w:r>
      <w:r w:rsidR="0093078B">
        <w:rPr>
          <w:rFonts w:ascii="Times New Roman" w:hAnsi="Times New Roman" w:cs="Times New Roman"/>
          <w:color w:val="auto"/>
          <w:sz w:val="24"/>
          <w:szCs w:val="24"/>
        </w:rPr>
        <w:t xml:space="preserve"> </w:t>
      </w:r>
      <w:r w:rsidR="0093078B" w:rsidRPr="0093078B">
        <w:rPr>
          <w:rFonts w:ascii="Times New Roman" w:hAnsi="Times New Roman" w:cs="Times New Roman"/>
          <w:color w:val="auto"/>
          <w:sz w:val="24"/>
          <w:szCs w:val="24"/>
        </w:rPr>
        <w:t>(feature dimension)</w:t>
      </w:r>
      <w:r w:rsidRPr="0093078B">
        <w:rPr>
          <w:rFonts w:ascii="Times New Roman" w:hAnsi="Times New Roman" w:cs="Times New Roman"/>
          <w:color w:val="auto"/>
          <w:sz w:val="24"/>
          <w:szCs w:val="24"/>
        </w:rPr>
        <w:t xml:space="preserve">). This sequence is projected through a fully connected layer to a 512-dim vector and fed into a 2-layer Bidirectional LSTM (BiLSTM, hidden size 1024, input size 2048 after concatenation). The BiLSTM </w:t>
      </w:r>
      <w:r w:rsidRPr="0093078B">
        <w:rPr>
          <w:rFonts w:ascii="Times New Roman" w:hAnsi="Times New Roman" w:cs="Times New Roman"/>
          <w:color w:val="auto"/>
          <w:sz w:val="24"/>
          <w:szCs w:val="24"/>
        </w:rPr>
        <w:lastRenderedPageBreak/>
        <w:t>models the temporal flow of the breath before passing the final hidden state to the classification heads.</w:t>
      </w:r>
    </w:p>
    <w:p w14:paraId="069D80CD" w14:textId="46190D70" w:rsidR="005C121A" w:rsidRPr="00AD0657" w:rsidRDefault="00000000" w:rsidP="00AD0657">
      <w:pPr>
        <w:rPr>
          <w:rFonts w:ascii="Times New Roman" w:hAnsi="Times New Roman" w:cs="Times New Roman"/>
          <w:color w:val="auto"/>
          <w:sz w:val="24"/>
          <w:szCs w:val="24"/>
        </w:rPr>
      </w:pPr>
      <w:r w:rsidRPr="00AD0657">
        <w:rPr>
          <w:rFonts w:ascii="Times New Roman" w:hAnsi="Times New Roman" w:cs="Times New Roman"/>
          <w:b/>
          <w:color w:val="auto"/>
          <w:sz w:val="32"/>
          <w:szCs w:val="24"/>
        </w:rPr>
        <w:t>3. Incremental Implementation Roadmap</w:t>
      </w:r>
    </w:p>
    <w:p w14:paraId="6362FF6E"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The development of the lung sound classification framework was carried out through 18 distinct phases. Below is the detailed chronological log of each phase, the technical rationale behind its consideration, and how its outcomes necessitated the next phase:</w:t>
      </w:r>
    </w:p>
    <w:p w14:paraId="67EDF953"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 Environment Setup &amp; Raw Data Ingestion</w:t>
      </w:r>
    </w:p>
    <w:p w14:paraId="2F82C13E"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Established the Conda virtual environment (lung_disease) and installed PyTorch with CUDA support, Librosa, SciPy, and PyWavelets. This was the foundational step to verify GPU capability (using CUDA on local hardware) and ingest the raw ICBHI 2017 database wav files and annotations, ensuring the local workspace was fully functional.</w:t>
      </w:r>
    </w:p>
    <w:p w14:paraId="463C2411"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2: Preprocessing &amp; Segmentation Pipeline</w:t>
      </w:r>
    </w:p>
    <w:p w14:paraId="0C407107"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Created `src/preprocess.py` to resample raw files to 4000 Hz, apply a 2nd-order Butterworth bandpass filter (100-2000 Hz), and slice recordings into 3.0s cycle WAV files. This was considered because raw chest recordings contain heavy extraneous noise. Segmenting standardized 3s cycles established standard input instances for model training.</w:t>
      </w:r>
    </w:p>
    <w:p w14:paraId="1F3CCCA5"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3: Multi-Branch Feature Extraction</w:t>
      </w:r>
    </w:p>
    <w:p w14:paraId="7A83AB22"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Created `src/extract_features.py` to compute Mel, CQT, and CWT representations, stacking them into a (3, 128, 128) tensor, and saving them as serialized PyTorch files. This was considered because single-transform models fail to capture both wheezes and crackles. Pre-computing and serializing these features saved massive computational overhead during subsequent training runs.</w:t>
      </w:r>
    </w:p>
    <w:p w14:paraId="28492559"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4: Dataloader &amp; Class Balancer</w:t>
      </w:r>
    </w:p>
    <w:p w14:paraId="192A93B0"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subject-level train/validation/test partitions and a custom PyTorch dataset class in `src/dataset.py`. A `WeightedRandomSampler` was implemented. This was considered because naive random splitting leads to patient data leakage (overestimating model generalization), and severe class imbalance (Normal cycles dominating) biases the model. The sampler forces equal probability of drawing each class in every training batch.</w:t>
      </w:r>
    </w:p>
    <w:p w14:paraId="11707DF0"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5: Baseline SVM &amp; 2D CNN Models</w:t>
      </w:r>
    </w:p>
    <w:p w14:paraId="239C201A"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Developed an RBF-kernel SVM (on flattened CQT features) and a modified 2D CNN (ResNet-18) in `src/baselines/`. This was considered to establish the baseline performance ceiling. ResNet-18 was selected due to its powerful visual pattern extraction on 2D images, making it a natural fit for stacked spectrograms.</w:t>
      </w:r>
    </w:p>
    <w:p w14:paraId="37885CF6"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lastRenderedPageBreak/>
        <w:t>Phase 6: Spatial-Temporal Hybrid Model</w:t>
      </w:r>
    </w:p>
    <w:p w14:paraId="05632934"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Developed the hybrid CNN-LSTM architecture (`src/baselines/train_hybrid_model.py`) combining the CNN backbone with a BiLSTM. This was considered because static 2D CNNs treat spectrograms as single images, ignoring the temporal progression of inhalation and exhalation. The BiLSTM extracts time-series dependencies from the width slices of the CNN feature maps.</w:t>
      </w:r>
    </w:p>
    <w:p w14:paraId="48306F94"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7: Baseline Evaluation &amp; Metrics Compiler</w:t>
      </w:r>
    </w:p>
    <w:p w14:paraId="1467FB47" w14:textId="77777777" w:rsidR="00AD0657"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Created `src/baselines/evaluate_models.py` to compute standard Accuracy, Sensitivity ($Se$), Specificity ($Sp$), and the official ICBHI Score, alongside GPU latency profiling. This was considered to compile baseline results. It revealed that the proposed hybrid CNN-LSTM improved sensitivity over the 2D CNN baseline by capturing cyclical sequence transitions.</w:t>
      </w:r>
    </w:p>
    <w:p w14:paraId="6D2663DB" w14:textId="15F5DE90"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b/>
          <w:color w:val="auto"/>
          <w:sz w:val="24"/>
          <w:szCs w:val="24"/>
        </w:rPr>
        <w:t>Phase 8: Ablation Study Configuration</w:t>
      </w:r>
    </w:p>
    <w:p w14:paraId="74D1AD7C"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Added channel-masking capability in `src/dataset.py` to evaluate different feature combinations (Configs A, B, C, D). This was considered to isolate the impact of Mel, CQT, and CWT. Stacking all three (Config D) produced the highest baseline accuracy.</w:t>
      </w:r>
    </w:p>
    <w:p w14:paraId="2AF961AA"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9: High-Epoch Training &amp; Cosine Scheduling</w:t>
      </w:r>
    </w:p>
    <w:p w14:paraId="3C2474B9"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Integrated `CosineAnnealingLR` and an `EarlyStopping` class (patience=10) in `src/experiments/run_experiments.py`. This was considered to prevent overfitting during high-epoch (50) training. Cosine scheduling allowed the model to settle into finer local minima, preventing validation score oscillations.</w:t>
      </w:r>
    </w:p>
    <w:p w14:paraId="5D9EBF5D"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10: Multi-Class Threshold Calibration</w:t>
      </w:r>
    </w:p>
    <w:p w14:paraId="2E202AAD"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validation logit gathering and a random-sweep threshold optimizer (20,000 trials). This was considered because class imbalance biases the standard argmax prediction towards the majority class. Tuned thresholds shift the decision boundaries to balance Sensitivity and Specificity.</w:t>
      </w:r>
    </w:p>
    <w:p w14:paraId="23120B29"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11: Metric Compiling &amp; Baseline Walkthrough</w:t>
      </w:r>
    </w:p>
    <w:p w14:paraId="0642F558"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Ran the full baseline ablation sweep using `run_all_experiments.py` and compiled the comparative table and validation curve graphs in `walkthrough.md`. This completed the baseline phase, establishing a baseline calibrated ICBHI score ceiling of 48.82%.</w:t>
      </w:r>
    </w:p>
    <w:p w14:paraId="51CAF574"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12: Packaging &amp; Handover Security</w:t>
      </w:r>
    </w:p>
    <w:p w14:paraId="72373DBA"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Created gitignore configurations to exclude raw datasets, pre-computed features, and large checkpoint files. This was considered to keep the Git repository lightweight and secure during handover.</w:t>
      </w:r>
    </w:p>
    <w:p w14:paraId="4C47F990"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lastRenderedPageBreak/>
        <w:t>Phase 13: SOTA GPU Augmentations &amp; Mixup</w:t>
      </w:r>
    </w:p>
    <w:p w14:paraId="003DDFDC"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GPU-based circular time/pitch shifts, noise injection, SpecAugment, and training loop Mixup in `src/sota/`. This SOTA pipeline was considered because deep models easily overfit the small ICBHI training set. GPU spectrogram augmentations avoided the raw audio processing bottleneck, while Mixup smoothed the decision boundaries.</w:t>
      </w:r>
    </w:p>
    <w:p w14:paraId="60C1A687"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14: SOTA Loss Upgrades (Focal Loss &amp; Smoothing)</w:t>
      </w:r>
    </w:p>
    <w:p w14:paraId="001E7E50" w14:textId="06BF1522"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a custom weighted `</w:t>
      </w:r>
      <w:proofErr w:type="spellStart"/>
      <w:r w:rsidRPr="00AD0657">
        <w:rPr>
          <w:rFonts w:ascii="Times New Roman" w:hAnsi="Times New Roman" w:cs="Times New Roman"/>
          <w:color w:val="auto"/>
          <w:sz w:val="24"/>
          <w:szCs w:val="24"/>
        </w:rPr>
        <w:t>FocalLoss</w:t>
      </w:r>
      <w:proofErr w:type="spellEnd"/>
      <w:r w:rsidRPr="00AD0657">
        <w:rPr>
          <w:rFonts w:ascii="Times New Roman" w:hAnsi="Times New Roman" w:cs="Times New Roman"/>
          <w:color w:val="auto"/>
          <w:sz w:val="24"/>
          <w:szCs w:val="24"/>
        </w:rPr>
        <w:t>` (</w:t>
      </w:r>
      <w:r w:rsidR="00003BD8">
        <w:rPr>
          <w:rFonts w:ascii="Times New Roman" w:hAnsi="Times New Roman" w:cs="Times New Roman"/>
          <w:color w:val="auto"/>
          <w:sz w:val="24"/>
          <w:szCs w:val="24"/>
        </w:rPr>
        <w:t xml:space="preserve">γ = </w:t>
      </w:r>
      <w:r w:rsidRPr="00AD0657">
        <w:rPr>
          <w:rFonts w:ascii="Times New Roman" w:hAnsi="Times New Roman" w:cs="Times New Roman"/>
          <w:color w:val="auto"/>
          <w:sz w:val="24"/>
          <w:szCs w:val="24"/>
        </w:rPr>
        <w:t>2.0) and Label Smoothing (</w:t>
      </w:r>
      <w:r w:rsidR="00003BD8">
        <w:rPr>
          <w:rFonts w:ascii="Times New Roman" w:hAnsi="Times New Roman" w:cs="Times New Roman"/>
          <w:color w:val="auto"/>
          <w:sz w:val="24"/>
          <w:szCs w:val="24"/>
        </w:rPr>
        <w:t xml:space="preserve">ε </w:t>
      </w:r>
      <w:r w:rsidRPr="00AD0657">
        <w:rPr>
          <w:rFonts w:ascii="Times New Roman" w:hAnsi="Times New Roman" w:cs="Times New Roman"/>
          <w:color w:val="auto"/>
          <w:sz w:val="24"/>
          <w:szCs w:val="24"/>
        </w:rPr>
        <w:t>=</w:t>
      </w:r>
      <w:r w:rsidR="00003BD8">
        <w:rPr>
          <w:rFonts w:ascii="Times New Roman" w:hAnsi="Times New Roman" w:cs="Times New Roman"/>
          <w:color w:val="auto"/>
          <w:sz w:val="24"/>
          <w:szCs w:val="24"/>
        </w:rPr>
        <w:t xml:space="preserve"> </w:t>
      </w:r>
      <w:r w:rsidRPr="00AD0657">
        <w:rPr>
          <w:rFonts w:ascii="Times New Roman" w:hAnsi="Times New Roman" w:cs="Times New Roman"/>
          <w:color w:val="auto"/>
          <w:sz w:val="24"/>
          <w:szCs w:val="24"/>
        </w:rPr>
        <w:t xml:space="preserve">0.1) compatible with </w:t>
      </w:r>
      <w:proofErr w:type="spellStart"/>
      <w:r w:rsidRPr="00AD0657">
        <w:rPr>
          <w:rFonts w:ascii="Times New Roman" w:hAnsi="Times New Roman" w:cs="Times New Roman"/>
          <w:color w:val="auto"/>
          <w:sz w:val="24"/>
          <w:szCs w:val="24"/>
        </w:rPr>
        <w:t>Mixup</w:t>
      </w:r>
      <w:proofErr w:type="spellEnd"/>
      <w:r w:rsidRPr="00AD0657">
        <w:rPr>
          <w:rFonts w:ascii="Times New Roman" w:hAnsi="Times New Roman" w:cs="Times New Roman"/>
          <w:color w:val="auto"/>
          <w:sz w:val="24"/>
          <w:szCs w:val="24"/>
        </w:rPr>
        <w:t xml:space="preserve"> targets. This was considered to force gradients to focus on hard, rare abnormal classes (crackles/wheezes) while regularizing predictions.</w:t>
      </w:r>
    </w:p>
    <w:p w14:paraId="2CE068D4"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15: Pre-trained Audio Backbones (PANNs Cnn14)</w:t>
      </w:r>
    </w:p>
    <w:p w14:paraId="3521151F" w14:textId="77777777" w:rsidR="00AD0657"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Integrated PANNs Cnn14 backbones, mapping mono-channel weights to 3-channel stack inputs. This was considered to leverage large-scale audio representation pre-training from AudioSet, aiming to improve representation capacity.</w:t>
      </w:r>
    </w:p>
    <w:p w14:paraId="1835DD9F" w14:textId="7B34D6CB"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16: SOTA Multi-Task Learning (MTL)</w:t>
      </w:r>
    </w:p>
    <w:p w14:paraId="6583EE5B"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joint sound cycle classification and patient pathology diagnosis in `src/sota/run_experiments.py`. This was considered to regularize representations by forcing the model to learn clinical pathology relationships, achieving 89.57% pathology accuracy.</w:t>
      </w:r>
    </w:p>
    <w:p w14:paraId="115C11D9"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17: SOTA ResNet-18 Backbone Integration</w:t>
      </w:r>
    </w:p>
    <w:p w14:paraId="14255DD1"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Integrated ResNet-18 into the SOTA pipeline via the `--backbone` flag. This was considered because PANNs (pre-trained on mono AudioSet Mel) suffered from domain mismatches when processing 3-channel stacked Mel+CQT+CWT maps. ResNet-18 (pre-trained on 3-channel ImageNet textures) aligned perfectly with visual stacked maps, converging in only 3 epochs (47.24% calibrated score).</w:t>
      </w:r>
    </w:p>
    <w:p w14:paraId="788CE64D"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Phase 18: Balanced Calibration via Geometric Product</w:t>
      </w:r>
    </w:p>
    <w:p w14:paraId="506C0DD6" w14:textId="03C09A6B"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Implemented the Geometric Product (</w:t>
      </w:r>
      <w:proofErr w:type="spellStart"/>
      <w:r w:rsidRPr="00AD0657">
        <w:rPr>
          <w:rFonts w:ascii="Times New Roman" w:hAnsi="Times New Roman" w:cs="Times New Roman"/>
          <w:color w:val="auto"/>
          <w:sz w:val="24"/>
          <w:szCs w:val="24"/>
        </w:rPr>
        <w:t>Se</w:t>
      </w:r>
      <w:r w:rsidR="00DD7F75">
        <w:rPr>
          <w:rFonts w:ascii="Times New Roman" w:hAnsi="Times New Roman" w:cs="Times New Roman"/>
          <w:color w:val="auto"/>
          <w:sz w:val="24"/>
          <w:szCs w:val="24"/>
        </w:rPr>
        <w:t>×</w:t>
      </w:r>
      <w:r w:rsidRPr="00AD0657">
        <w:rPr>
          <w:rFonts w:ascii="Times New Roman" w:hAnsi="Times New Roman" w:cs="Times New Roman"/>
          <w:color w:val="auto"/>
          <w:sz w:val="24"/>
          <w:szCs w:val="24"/>
        </w:rPr>
        <w:t>Sp</w:t>
      </w:r>
      <w:proofErr w:type="spellEnd"/>
      <w:r w:rsidRPr="00AD0657">
        <w:rPr>
          <w:rFonts w:ascii="Times New Roman" w:hAnsi="Times New Roman" w:cs="Times New Roman"/>
          <w:color w:val="auto"/>
          <w:sz w:val="24"/>
          <w:szCs w:val="24"/>
        </w:rPr>
        <w:t>) calibration metric and disabled `--weighted_loss` to eliminate double-correction. This was considered because hard validation constraints (`min_se = 0.40`) crashed test specificity to ~38-43%, and double-correction biased the model. Product calibration found the optimal balanced point (Se = 33.08%, Sp = 59.37% on Multi-Task), yielding our best overall results.</w:t>
      </w:r>
    </w:p>
    <w:p w14:paraId="412D8C2A" w14:textId="53AFC5EF" w:rsidR="005C121A" w:rsidRPr="00AD0657" w:rsidRDefault="00000000" w:rsidP="00AD0657">
      <w:pPr>
        <w:rPr>
          <w:rFonts w:ascii="Times New Roman" w:hAnsi="Times New Roman" w:cs="Times New Roman"/>
          <w:color w:val="auto"/>
          <w:sz w:val="24"/>
          <w:szCs w:val="24"/>
        </w:rPr>
      </w:pPr>
      <w:r w:rsidRPr="00AD0657">
        <w:rPr>
          <w:rFonts w:ascii="Times New Roman" w:hAnsi="Times New Roman" w:cs="Times New Roman"/>
          <w:b/>
          <w:color w:val="auto"/>
          <w:sz w:val="32"/>
          <w:szCs w:val="24"/>
        </w:rPr>
        <w:t>5. Experimental Results &amp; Comparative Analysis</w:t>
      </w:r>
    </w:p>
    <w:p w14:paraId="0B670A64"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5.1 Complete Baseline Ablation Study Results</w:t>
      </w:r>
    </w:p>
    <w:p w14:paraId="0B065DB9"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Below is the complete 16-row metrics comparison table compiled on the Test split after training all baseline configurations for 50 epochs. This table illustrates the effect of multi-branch time-</w:t>
      </w:r>
      <w:r w:rsidRPr="00AD0657">
        <w:rPr>
          <w:rFonts w:ascii="Times New Roman" w:hAnsi="Times New Roman" w:cs="Times New Roman"/>
          <w:color w:val="auto"/>
          <w:sz w:val="24"/>
          <w:szCs w:val="24"/>
        </w:rPr>
        <w:lastRenderedPageBreak/>
        <w:t>frequency feature configurations (Mel, Mel+CQT, Mel+CWT, Stacked) and threshold calibration on both the baseline ResNet-18 and the proposed CNN-LSTM hybrid model:</w:t>
      </w:r>
    </w:p>
    <w:tbl>
      <w:tblPr>
        <w:tblStyle w:val="LightShading-Accent1"/>
        <w:tblW w:w="9856" w:type="dxa"/>
        <w:tblLook w:val="04A0" w:firstRow="1" w:lastRow="0" w:firstColumn="1" w:lastColumn="0" w:noHBand="0" w:noVBand="1"/>
      </w:tblPr>
      <w:tblGrid>
        <w:gridCol w:w="1408"/>
        <w:gridCol w:w="1408"/>
        <w:gridCol w:w="1408"/>
        <w:gridCol w:w="1408"/>
        <w:gridCol w:w="1408"/>
        <w:gridCol w:w="1408"/>
        <w:gridCol w:w="1408"/>
      </w:tblGrid>
      <w:tr w:rsidR="005C121A" w:rsidRPr="00AD0657" w14:paraId="365AC0E9" w14:textId="77777777" w:rsidTr="00DD7F75">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0E4628F3"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color w:val="auto"/>
                <w:sz w:val="20"/>
                <w:szCs w:val="24"/>
              </w:rPr>
              <w:t>Model</w:t>
            </w:r>
          </w:p>
        </w:tc>
        <w:tc>
          <w:tcPr>
            <w:tcW w:w="1408" w:type="dxa"/>
          </w:tcPr>
          <w:p w14:paraId="349DA23C"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Ablation Config</w:t>
            </w:r>
          </w:p>
        </w:tc>
        <w:tc>
          <w:tcPr>
            <w:tcW w:w="1408" w:type="dxa"/>
          </w:tcPr>
          <w:p w14:paraId="1E6594DE"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Calibration</w:t>
            </w:r>
          </w:p>
        </w:tc>
        <w:tc>
          <w:tcPr>
            <w:tcW w:w="1408" w:type="dxa"/>
          </w:tcPr>
          <w:p w14:paraId="3A0CBD8C"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Accuracy</w:t>
            </w:r>
          </w:p>
        </w:tc>
        <w:tc>
          <w:tcPr>
            <w:tcW w:w="1408" w:type="dxa"/>
          </w:tcPr>
          <w:p w14:paraId="15D086D8"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Sensitivity (Se)</w:t>
            </w:r>
          </w:p>
        </w:tc>
        <w:tc>
          <w:tcPr>
            <w:tcW w:w="1408" w:type="dxa"/>
          </w:tcPr>
          <w:p w14:paraId="7BD1BDEB"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Specificity (Sp)</w:t>
            </w:r>
          </w:p>
        </w:tc>
        <w:tc>
          <w:tcPr>
            <w:tcW w:w="1408" w:type="dxa"/>
          </w:tcPr>
          <w:p w14:paraId="386FDC14"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ICBHI Score (S)</w:t>
            </w:r>
          </w:p>
        </w:tc>
      </w:tr>
      <w:tr w:rsidR="005C121A" w:rsidRPr="00AD0657" w14:paraId="2A803DBA" w14:textId="77777777" w:rsidTr="00DD7F7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52A775B9"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7D5C1431"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A (Mel)</w:t>
            </w:r>
          </w:p>
        </w:tc>
        <w:tc>
          <w:tcPr>
            <w:tcW w:w="1408" w:type="dxa"/>
          </w:tcPr>
          <w:p w14:paraId="507FA1C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4B6DFA1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43.00%</w:t>
            </w:r>
          </w:p>
        </w:tc>
        <w:tc>
          <w:tcPr>
            <w:tcW w:w="1408" w:type="dxa"/>
          </w:tcPr>
          <w:p w14:paraId="551FA03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40.40%</w:t>
            </w:r>
          </w:p>
        </w:tc>
        <w:tc>
          <w:tcPr>
            <w:tcW w:w="1408" w:type="dxa"/>
          </w:tcPr>
          <w:p w14:paraId="39532F3C"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39.52%</w:t>
            </w:r>
          </w:p>
        </w:tc>
        <w:tc>
          <w:tcPr>
            <w:tcW w:w="1408" w:type="dxa"/>
          </w:tcPr>
          <w:p w14:paraId="4747D9E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39.96%</w:t>
            </w:r>
          </w:p>
        </w:tc>
      </w:tr>
      <w:tr w:rsidR="005C121A" w:rsidRPr="00AD0657" w14:paraId="29E3642F"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14CCE03D"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12C34B9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A (Mel)</w:t>
            </w:r>
          </w:p>
        </w:tc>
        <w:tc>
          <w:tcPr>
            <w:tcW w:w="1408" w:type="dxa"/>
          </w:tcPr>
          <w:p w14:paraId="6936D77C"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77F599C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50.80%</w:t>
            </w:r>
          </w:p>
        </w:tc>
        <w:tc>
          <w:tcPr>
            <w:tcW w:w="1408" w:type="dxa"/>
          </w:tcPr>
          <w:p w14:paraId="2418FFB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26.84%</w:t>
            </w:r>
          </w:p>
        </w:tc>
        <w:tc>
          <w:tcPr>
            <w:tcW w:w="1408" w:type="dxa"/>
          </w:tcPr>
          <w:p w14:paraId="6E17181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66.62%</w:t>
            </w:r>
          </w:p>
        </w:tc>
        <w:tc>
          <w:tcPr>
            <w:tcW w:w="1408" w:type="dxa"/>
          </w:tcPr>
          <w:p w14:paraId="07036FC4"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46.73%</w:t>
            </w:r>
          </w:p>
        </w:tc>
      </w:tr>
      <w:tr w:rsidR="005C121A" w:rsidRPr="00AD0657" w14:paraId="281492E6" w14:textId="77777777" w:rsidTr="00DD7F75">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08" w:type="dxa"/>
          </w:tcPr>
          <w:p w14:paraId="13871879"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40C292AE"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B (Mel+CQT)</w:t>
            </w:r>
          </w:p>
        </w:tc>
        <w:tc>
          <w:tcPr>
            <w:tcW w:w="1408" w:type="dxa"/>
          </w:tcPr>
          <w:p w14:paraId="0381E3F2"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2912806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49.13%</w:t>
            </w:r>
          </w:p>
        </w:tc>
        <w:tc>
          <w:tcPr>
            <w:tcW w:w="1408" w:type="dxa"/>
          </w:tcPr>
          <w:p w14:paraId="45D3A4F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23.11%</w:t>
            </w:r>
          </w:p>
        </w:tc>
        <w:tc>
          <w:tcPr>
            <w:tcW w:w="1408" w:type="dxa"/>
          </w:tcPr>
          <w:p w14:paraId="636C532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67.45%</w:t>
            </w:r>
          </w:p>
        </w:tc>
        <w:tc>
          <w:tcPr>
            <w:tcW w:w="1408" w:type="dxa"/>
          </w:tcPr>
          <w:p w14:paraId="4DBEB43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45.28%</w:t>
            </w:r>
          </w:p>
        </w:tc>
      </w:tr>
      <w:tr w:rsidR="005C121A" w:rsidRPr="00AD0657" w14:paraId="38789D81"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38545121"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15B9351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B (Mel+CQT)</w:t>
            </w:r>
          </w:p>
        </w:tc>
        <w:tc>
          <w:tcPr>
            <w:tcW w:w="1408" w:type="dxa"/>
          </w:tcPr>
          <w:p w14:paraId="7D36352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23A200CC"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51.71%</w:t>
            </w:r>
          </w:p>
        </w:tc>
        <w:tc>
          <w:tcPr>
            <w:tcW w:w="1408" w:type="dxa"/>
          </w:tcPr>
          <w:p w14:paraId="19054DA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11.13%</w:t>
            </w:r>
          </w:p>
        </w:tc>
        <w:tc>
          <w:tcPr>
            <w:tcW w:w="1408" w:type="dxa"/>
          </w:tcPr>
          <w:p w14:paraId="7B81CF3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82.71%</w:t>
            </w:r>
          </w:p>
        </w:tc>
        <w:tc>
          <w:tcPr>
            <w:tcW w:w="1408" w:type="dxa"/>
          </w:tcPr>
          <w:p w14:paraId="3DF699D7"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46.92%</w:t>
            </w:r>
          </w:p>
        </w:tc>
      </w:tr>
      <w:tr w:rsidR="005C121A" w:rsidRPr="00AD0657" w14:paraId="1930D819" w14:textId="77777777" w:rsidTr="00DD7F7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063F33E3"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41B62CA9"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C (Mel+CWT)</w:t>
            </w:r>
          </w:p>
        </w:tc>
        <w:tc>
          <w:tcPr>
            <w:tcW w:w="1408" w:type="dxa"/>
          </w:tcPr>
          <w:p w14:paraId="04DC14C8"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0A15F7C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37.23%</w:t>
            </w:r>
          </w:p>
        </w:tc>
        <w:tc>
          <w:tcPr>
            <w:tcW w:w="1408" w:type="dxa"/>
          </w:tcPr>
          <w:p w14:paraId="07CF4CD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26.90%</w:t>
            </w:r>
          </w:p>
        </w:tc>
        <w:tc>
          <w:tcPr>
            <w:tcW w:w="1408" w:type="dxa"/>
          </w:tcPr>
          <w:p w14:paraId="36C3626B"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42.56%</w:t>
            </w:r>
          </w:p>
        </w:tc>
        <w:tc>
          <w:tcPr>
            <w:tcW w:w="1408" w:type="dxa"/>
          </w:tcPr>
          <w:p w14:paraId="00A370F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34.73%</w:t>
            </w:r>
          </w:p>
        </w:tc>
      </w:tr>
      <w:tr w:rsidR="005C121A" w:rsidRPr="00AD0657" w14:paraId="3906F536" w14:textId="77777777" w:rsidTr="00DD7F75">
        <w:trPr>
          <w:trHeight w:val="556"/>
        </w:trPr>
        <w:tc>
          <w:tcPr>
            <w:cnfStyle w:val="001000000000" w:firstRow="0" w:lastRow="0" w:firstColumn="1" w:lastColumn="0" w:oddVBand="0" w:evenVBand="0" w:oddHBand="0" w:evenHBand="0" w:firstRowFirstColumn="0" w:firstRowLastColumn="0" w:lastRowFirstColumn="0" w:lastRowLastColumn="0"/>
            <w:tcW w:w="1408" w:type="dxa"/>
          </w:tcPr>
          <w:p w14:paraId="01DEE4F2"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5F01B6D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C (Mel+CWT)</w:t>
            </w:r>
          </w:p>
        </w:tc>
        <w:tc>
          <w:tcPr>
            <w:tcW w:w="1408" w:type="dxa"/>
          </w:tcPr>
          <w:p w14:paraId="5FCF8080"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36819E5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42.31%</w:t>
            </w:r>
          </w:p>
        </w:tc>
        <w:tc>
          <w:tcPr>
            <w:tcW w:w="1408" w:type="dxa"/>
          </w:tcPr>
          <w:p w14:paraId="25A55D4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16.33%</w:t>
            </w:r>
          </w:p>
        </w:tc>
        <w:tc>
          <w:tcPr>
            <w:tcW w:w="1408" w:type="dxa"/>
          </w:tcPr>
          <w:p w14:paraId="53F7700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62.95%</w:t>
            </w:r>
          </w:p>
        </w:tc>
        <w:tc>
          <w:tcPr>
            <w:tcW w:w="1408" w:type="dxa"/>
          </w:tcPr>
          <w:p w14:paraId="5691F8E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39.64%</w:t>
            </w:r>
          </w:p>
        </w:tc>
      </w:tr>
      <w:tr w:rsidR="005C121A" w:rsidRPr="00AD0657" w14:paraId="284047B2" w14:textId="77777777" w:rsidTr="00DD7F7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5AF9E80A"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4047B62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D (Stacked)</w:t>
            </w:r>
          </w:p>
        </w:tc>
        <w:tc>
          <w:tcPr>
            <w:tcW w:w="1408" w:type="dxa"/>
          </w:tcPr>
          <w:p w14:paraId="1A23CCF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6A79D3B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51.71%</w:t>
            </w:r>
          </w:p>
        </w:tc>
        <w:tc>
          <w:tcPr>
            <w:tcW w:w="1408" w:type="dxa"/>
          </w:tcPr>
          <w:p w14:paraId="5EBB62E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27.17%</w:t>
            </w:r>
          </w:p>
        </w:tc>
        <w:tc>
          <w:tcPr>
            <w:tcW w:w="1408" w:type="dxa"/>
          </w:tcPr>
          <w:p w14:paraId="55CF035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66.94%</w:t>
            </w:r>
          </w:p>
        </w:tc>
        <w:tc>
          <w:tcPr>
            <w:tcW w:w="1408" w:type="dxa"/>
          </w:tcPr>
          <w:p w14:paraId="01BF7035"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47.05%</w:t>
            </w:r>
          </w:p>
        </w:tc>
      </w:tr>
      <w:tr w:rsidR="005C121A" w:rsidRPr="00AD0657" w14:paraId="2ABF14A1"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450B321C"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Baseline ResNet-18</w:t>
            </w:r>
          </w:p>
        </w:tc>
        <w:tc>
          <w:tcPr>
            <w:tcW w:w="1408" w:type="dxa"/>
          </w:tcPr>
          <w:p w14:paraId="598E40B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D (Stacked)</w:t>
            </w:r>
          </w:p>
        </w:tc>
        <w:tc>
          <w:tcPr>
            <w:tcW w:w="1408" w:type="dxa"/>
          </w:tcPr>
          <w:p w14:paraId="4155F04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18EF529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54.03%</w:t>
            </w:r>
          </w:p>
        </w:tc>
        <w:tc>
          <w:tcPr>
            <w:tcW w:w="1408" w:type="dxa"/>
          </w:tcPr>
          <w:p w14:paraId="30406EA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18.03%</w:t>
            </w:r>
          </w:p>
        </w:tc>
        <w:tc>
          <w:tcPr>
            <w:tcW w:w="1408" w:type="dxa"/>
          </w:tcPr>
          <w:p w14:paraId="32E1E9EA"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79.61%</w:t>
            </w:r>
          </w:p>
        </w:tc>
        <w:tc>
          <w:tcPr>
            <w:tcW w:w="1408" w:type="dxa"/>
          </w:tcPr>
          <w:p w14:paraId="1FD7896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48.82%</w:t>
            </w:r>
          </w:p>
        </w:tc>
      </w:tr>
      <w:tr w:rsidR="005C121A" w:rsidRPr="00AD0657" w14:paraId="257215EE" w14:textId="77777777" w:rsidTr="00DD7F75">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08" w:type="dxa"/>
          </w:tcPr>
          <w:p w14:paraId="7F8720A7"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7DFCA16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A (Mel)</w:t>
            </w:r>
          </w:p>
        </w:tc>
        <w:tc>
          <w:tcPr>
            <w:tcW w:w="1408" w:type="dxa"/>
          </w:tcPr>
          <w:p w14:paraId="5FC8B44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31B8C2C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48.37%</w:t>
            </w:r>
          </w:p>
        </w:tc>
        <w:tc>
          <w:tcPr>
            <w:tcW w:w="1408" w:type="dxa"/>
          </w:tcPr>
          <w:p w14:paraId="18148ACF"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31.10%</w:t>
            </w:r>
          </w:p>
        </w:tc>
        <w:tc>
          <w:tcPr>
            <w:tcW w:w="1408" w:type="dxa"/>
          </w:tcPr>
          <w:p w14:paraId="671DE41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58.77%</w:t>
            </w:r>
          </w:p>
        </w:tc>
        <w:tc>
          <w:tcPr>
            <w:tcW w:w="1408" w:type="dxa"/>
          </w:tcPr>
          <w:p w14:paraId="00C5203B"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44.93%</w:t>
            </w:r>
          </w:p>
        </w:tc>
      </w:tr>
      <w:tr w:rsidR="005C121A" w:rsidRPr="00AD0657" w14:paraId="1EFFF52B"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24C02288"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79F97CE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A (Mel)</w:t>
            </w:r>
          </w:p>
        </w:tc>
        <w:tc>
          <w:tcPr>
            <w:tcW w:w="1408" w:type="dxa"/>
          </w:tcPr>
          <w:p w14:paraId="733A9D8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2ABA04DC"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50.73%</w:t>
            </w:r>
          </w:p>
        </w:tc>
        <w:tc>
          <w:tcPr>
            <w:tcW w:w="1408" w:type="dxa"/>
          </w:tcPr>
          <w:p w14:paraId="3D59240B"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25.24%</w:t>
            </w:r>
          </w:p>
        </w:tc>
        <w:tc>
          <w:tcPr>
            <w:tcW w:w="1408" w:type="dxa"/>
          </w:tcPr>
          <w:p w14:paraId="1FC895B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68.84%</w:t>
            </w:r>
          </w:p>
        </w:tc>
        <w:tc>
          <w:tcPr>
            <w:tcW w:w="1408" w:type="dxa"/>
          </w:tcPr>
          <w:p w14:paraId="6D24272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47.04%</w:t>
            </w:r>
          </w:p>
        </w:tc>
      </w:tr>
      <w:tr w:rsidR="005C121A" w:rsidRPr="00AD0657" w14:paraId="7574DA59" w14:textId="77777777" w:rsidTr="00DD7F7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5C6D23FF"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620AE26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B (Mel+CQT)</w:t>
            </w:r>
          </w:p>
        </w:tc>
        <w:tc>
          <w:tcPr>
            <w:tcW w:w="1408" w:type="dxa"/>
          </w:tcPr>
          <w:p w14:paraId="569B569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2054BC6A"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47.39%</w:t>
            </w:r>
          </w:p>
        </w:tc>
        <w:tc>
          <w:tcPr>
            <w:tcW w:w="1408" w:type="dxa"/>
          </w:tcPr>
          <w:p w14:paraId="6DCCE9C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23.24%</w:t>
            </w:r>
          </w:p>
        </w:tc>
        <w:tc>
          <w:tcPr>
            <w:tcW w:w="1408" w:type="dxa"/>
          </w:tcPr>
          <w:p w14:paraId="693144C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60.80%</w:t>
            </w:r>
          </w:p>
        </w:tc>
        <w:tc>
          <w:tcPr>
            <w:tcW w:w="1408" w:type="dxa"/>
          </w:tcPr>
          <w:p w14:paraId="22280C8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42.02%</w:t>
            </w:r>
          </w:p>
        </w:tc>
      </w:tr>
      <w:tr w:rsidR="005C121A" w:rsidRPr="00AD0657" w14:paraId="2751A6CF" w14:textId="77777777" w:rsidTr="00DD7F75">
        <w:trPr>
          <w:trHeight w:val="556"/>
        </w:trPr>
        <w:tc>
          <w:tcPr>
            <w:cnfStyle w:val="001000000000" w:firstRow="0" w:lastRow="0" w:firstColumn="1" w:lastColumn="0" w:oddVBand="0" w:evenVBand="0" w:oddHBand="0" w:evenHBand="0" w:firstRowFirstColumn="0" w:firstRowLastColumn="0" w:lastRowFirstColumn="0" w:lastRowLastColumn="0"/>
            <w:tcW w:w="1408" w:type="dxa"/>
          </w:tcPr>
          <w:p w14:paraId="1EE98397"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7F6A0A0C"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B (Mel+CQT)</w:t>
            </w:r>
          </w:p>
        </w:tc>
        <w:tc>
          <w:tcPr>
            <w:tcW w:w="1408" w:type="dxa"/>
          </w:tcPr>
          <w:p w14:paraId="22107887"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6CECAAC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53.27%</w:t>
            </w:r>
          </w:p>
        </w:tc>
        <w:tc>
          <w:tcPr>
            <w:tcW w:w="1408" w:type="dxa"/>
          </w:tcPr>
          <w:p w14:paraId="4E60AF6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6.88%</w:t>
            </w:r>
          </w:p>
        </w:tc>
        <w:tc>
          <w:tcPr>
            <w:tcW w:w="1408" w:type="dxa"/>
          </w:tcPr>
          <w:p w14:paraId="6E358F87"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88.98%</w:t>
            </w:r>
          </w:p>
        </w:tc>
        <w:tc>
          <w:tcPr>
            <w:tcW w:w="1408" w:type="dxa"/>
          </w:tcPr>
          <w:p w14:paraId="17D0261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47.93%</w:t>
            </w:r>
          </w:p>
        </w:tc>
      </w:tr>
      <w:tr w:rsidR="005C121A" w:rsidRPr="00AD0657" w14:paraId="5F62FECB" w14:textId="77777777" w:rsidTr="00DD7F75">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408" w:type="dxa"/>
          </w:tcPr>
          <w:p w14:paraId="02790900"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785B0882"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C (Mel+CWT)</w:t>
            </w:r>
          </w:p>
        </w:tc>
        <w:tc>
          <w:tcPr>
            <w:tcW w:w="1408" w:type="dxa"/>
          </w:tcPr>
          <w:p w14:paraId="57625651"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7296525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48.62%</w:t>
            </w:r>
          </w:p>
        </w:tc>
        <w:tc>
          <w:tcPr>
            <w:tcW w:w="1408" w:type="dxa"/>
          </w:tcPr>
          <w:p w14:paraId="0BE1C98C"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35.74%</w:t>
            </w:r>
          </w:p>
        </w:tc>
        <w:tc>
          <w:tcPr>
            <w:tcW w:w="1408" w:type="dxa"/>
          </w:tcPr>
          <w:p w14:paraId="6FFDAFBC"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53.89%</w:t>
            </w:r>
          </w:p>
        </w:tc>
        <w:tc>
          <w:tcPr>
            <w:tcW w:w="1408" w:type="dxa"/>
          </w:tcPr>
          <w:p w14:paraId="724BC21E"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44.82%</w:t>
            </w:r>
          </w:p>
        </w:tc>
      </w:tr>
      <w:tr w:rsidR="005C121A" w:rsidRPr="00AD0657" w14:paraId="39D0D372"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73D5A25C"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65C2A3D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C (Mel+CWT)</w:t>
            </w:r>
          </w:p>
        </w:tc>
        <w:tc>
          <w:tcPr>
            <w:tcW w:w="1408" w:type="dxa"/>
          </w:tcPr>
          <w:p w14:paraId="7714A28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6DAD22E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49.20%</w:t>
            </w:r>
          </w:p>
        </w:tc>
        <w:tc>
          <w:tcPr>
            <w:tcW w:w="1408" w:type="dxa"/>
          </w:tcPr>
          <w:p w14:paraId="26213244"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18.05%</w:t>
            </w:r>
          </w:p>
        </w:tc>
        <w:tc>
          <w:tcPr>
            <w:tcW w:w="1408" w:type="dxa"/>
          </w:tcPr>
          <w:p w14:paraId="62922AA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74.22%</w:t>
            </w:r>
          </w:p>
        </w:tc>
        <w:tc>
          <w:tcPr>
            <w:tcW w:w="1408" w:type="dxa"/>
          </w:tcPr>
          <w:p w14:paraId="1C7B1B3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46.13%</w:t>
            </w:r>
          </w:p>
        </w:tc>
      </w:tr>
      <w:tr w:rsidR="005C121A" w:rsidRPr="00AD0657" w14:paraId="6B88E409" w14:textId="77777777" w:rsidTr="00DD7F75">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08" w:type="dxa"/>
          </w:tcPr>
          <w:p w14:paraId="1B4C7F8D"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60C61478"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D (Stacked)</w:t>
            </w:r>
          </w:p>
        </w:tc>
        <w:tc>
          <w:tcPr>
            <w:tcW w:w="1408" w:type="dxa"/>
          </w:tcPr>
          <w:p w14:paraId="2A0C2E0A"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Standard (Argmax)</w:t>
            </w:r>
          </w:p>
        </w:tc>
        <w:tc>
          <w:tcPr>
            <w:tcW w:w="1408" w:type="dxa"/>
          </w:tcPr>
          <w:p w14:paraId="304F056F"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53.08%</w:t>
            </w:r>
          </w:p>
        </w:tc>
        <w:tc>
          <w:tcPr>
            <w:tcW w:w="1408" w:type="dxa"/>
          </w:tcPr>
          <w:p w14:paraId="629037F5"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29.32%</w:t>
            </w:r>
          </w:p>
        </w:tc>
        <w:tc>
          <w:tcPr>
            <w:tcW w:w="1408" w:type="dxa"/>
          </w:tcPr>
          <w:p w14:paraId="51BF9A8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68.21%</w:t>
            </w:r>
          </w:p>
        </w:tc>
        <w:tc>
          <w:tcPr>
            <w:tcW w:w="1408" w:type="dxa"/>
          </w:tcPr>
          <w:p w14:paraId="3E9815CB"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48.76%</w:t>
            </w:r>
          </w:p>
        </w:tc>
      </w:tr>
      <w:tr w:rsidR="005C121A" w:rsidRPr="00AD0657" w14:paraId="71E8168A" w14:textId="77777777" w:rsidTr="00DD7F75">
        <w:trPr>
          <w:trHeight w:val="542"/>
        </w:trPr>
        <w:tc>
          <w:tcPr>
            <w:cnfStyle w:val="001000000000" w:firstRow="0" w:lastRow="0" w:firstColumn="1" w:lastColumn="0" w:oddVBand="0" w:evenVBand="0" w:oddHBand="0" w:evenHBand="0" w:firstRowFirstColumn="0" w:firstRowLastColumn="0" w:lastRowFirstColumn="0" w:lastRowLastColumn="0"/>
            <w:tcW w:w="1408" w:type="dxa"/>
          </w:tcPr>
          <w:p w14:paraId="7DA11E8F"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20"/>
                <w:szCs w:val="24"/>
              </w:rPr>
              <w:t>Proposed CNN-LSTM</w:t>
            </w:r>
          </w:p>
        </w:tc>
        <w:tc>
          <w:tcPr>
            <w:tcW w:w="1408" w:type="dxa"/>
          </w:tcPr>
          <w:p w14:paraId="291E465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Config D (Stacked)</w:t>
            </w:r>
          </w:p>
        </w:tc>
        <w:tc>
          <w:tcPr>
            <w:tcW w:w="1408" w:type="dxa"/>
          </w:tcPr>
          <w:p w14:paraId="097E45B7"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Calibrated (Tuned)</w:t>
            </w:r>
          </w:p>
        </w:tc>
        <w:tc>
          <w:tcPr>
            <w:tcW w:w="1408" w:type="dxa"/>
          </w:tcPr>
          <w:p w14:paraId="4C452E7C"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51.85%</w:t>
            </w:r>
          </w:p>
        </w:tc>
        <w:tc>
          <w:tcPr>
            <w:tcW w:w="1408" w:type="dxa"/>
          </w:tcPr>
          <w:p w14:paraId="15151CF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25.95%</w:t>
            </w:r>
          </w:p>
        </w:tc>
        <w:tc>
          <w:tcPr>
            <w:tcW w:w="1408" w:type="dxa"/>
          </w:tcPr>
          <w:p w14:paraId="660437D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70.55%</w:t>
            </w:r>
          </w:p>
        </w:tc>
        <w:tc>
          <w:tcPr>
            <w:tcW w:w="1408" w:type="dxa"/>
          </w:tcPr>
          <w:p w14:paraId="4ADF41B2"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48.25%</w:t>
            </w:r>
          </w:p>
        </w:tc>
      </w:tr>
    </w:tbl>
    <w:p w14:paraId="6FB593E8"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noProof/>
          <w:color w:val="auto"/>
          <w:sz w:val="24"/>
          <w:szCs w:val="24"/>
        </w:rPr>
        <w:lastRenderedPageBreak/>
        <w:drawing>
          <wp:inline distT="0" distB="0" distL="0" distR="0" wp14:anchorId="1E3D910C" wp14:editId="3AF22B43">
            <wp:extent cx="4389120" cy="2633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core_comparison.png"/>
                    <pic:cNvPicPr/>
                  </pic:nvPicPr>
                  <pic:blipFill>
                    <a:blip r:embed="rId8"/>
                    <a:stretch>
                      <a:fillRect/>
                    </a:stretch>
                  </pic:blipFill>
                  <pic:spPr>
                    <a:xfrm>
                      <a:off x="0" y="0"/>
                      <a:ext cx="4389120" cy="2633472"/>
                    </a:xfrm>
                    <a:prstGeom prst="rect">
                      <a:avLst/>
                    </a:prstGeom>
                  </pic:spPr>
                </pic:pic>
              </a:graphicData>
            </a:graphic>
          </wp:inline>
        </w:drawing>
      </w:r>
    </w:p>
    <w:p w14:paraId="23F81B27"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i/>
          <w:color w:val="auto"/>
          <w:sz w:val="20"/>
          <w:szCs w:val="24"/>
        </w:rPr>
        <w:t>Figure 1: Baseline Validation ICBHI Score Convergence Curves</w:t>
      </w:r>
    </w:p>
    <w:p w14:paraId="003661FE" w14:textId="77777777" w:rsidR="005C121A" w:rsidRPr="00AD0657" w:rsidRDefault="00000000">
      <w:pPr>
        <w:keepNext/>
        <w:spacing w:before="240" w:after="80"/>
        <w:rPr>
          <w:rFonts w:ascii="Times New Roman" w:hAnsi="Times New Roman" w:cs="Times New Roman"/>
          <w:color w:val="auto"/>
          <w:sz w:val="24"/>
          <w:szCs w:val="24"/>
        </w:rPr>
      </w:pPr>
      <w:r w:rsidRPr="00AD0657">
        <w:rPr>
          <w:rFonts w:ascii="Times New Roman" w:hAnsi="Times New Roman" w:cs="Times New Roman"/>
          <w:b/>
          <w:color w:val="auto"/>
          <w:sz w:val="24"/>
          <w:szCs w:val="24"/>
        </w:rPr>
        <w:t>5.2 State-of-the-Art (SOTA) Pipeline Results</w:t>
      </w:r>
    </w:p>
    <w:p w14:paraId="4159F0F1"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Below are the final SOTA optimized performance metrics compiled dynamically from the SOTA summary CSV file, illustrating standard and calibrated metrics for the pre-trained PANNs Cnn14 and ResNet-18 backbones:</w:t>
      </w:r>
    </w:p>
    <w:tbl>
      <w:tblPr>
        <w:tblStyle w:val="LightShading-Accent1"/>
        <w:tblW w:w="9733" w:type="dxa"/>
        <w:tblLook w:val="04A0" w:firstRow="1" w:lastRow="0" w:firstColumn="1" w:lastColumn="0" w:noHBand="0" w:noVBand="1"/>
      </w:tblPr>
      <w:tblGrid>
        <w:gridCol w:w="1079"/>
        <w:gridCol w:w="985"/>
        <w:gridCol w:w="1225"/>
        <w:gridCol w:w="1054"/>
        <w:gridCol w:w="1123"/>
        <w:gridCol w:w="1123"/>
        <w:gridCol w:w="1001"/>
        <w:gridCol w:w="1089"/>
        <w:gridCol w:w="1054"/>
      </w:tblGrid>
      <w:tr w:rsidR="005C121A" w:rsidRPr="00AD0657" w14:paraId="144012C1" w14:textId="77777777" w:rsidTr="00DD7F75">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079" w:type="dxa"/>
          </w:tcPr>
          <w:p w14:paraId="327D12B6"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color w:val="auto"/>
                <w:sz w:val="20"/>
                <w:szCs w:val="24"/>
              </w:rPr>
              <w:t>Backbone</w:t>
            </w:r>
          </w:p>
        </w:tc>
        <w:tc>
          <w:tcPr>
            <w:tcW w:w="985" w:type="dxa"/>
          </w:tcPr>
          <w:p w14:paraId="0343AB16"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Task</w:t>
            </w:r>
          </w:p>
        </w:tc>
        <w:tc>
          <w:tcPr>
            <w:tcW w:w="1225" w:type="dxa"/>
          </w:tcPr>
          <w:p w14:paraId="56070BBC"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Calibration</w:t>
            </w:r>
          </w:p>
        </w:tc>
        <w:tc>
          <w:tcPr>
            <w:tcW w:w="1054" w:type="dxa"/>
          </w:tcPr>
          <w:p w14:paraId="675A1399"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Accuracy</w:t>
            </w:r>
          </w:p>
        </w:tc>
        <w:tc>
          <w:tcPr>
            <w:tcW w:w="1123" w:type="dxa"/>
          </w:tcPr>
          <w:p w14:paraId="05AEBF6F"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Sensitivity (Se)</w:t>
            </w:r>
          </w:p>
        </w:tc>
        <w:tc>
          <w:tcPr>
            <w:tcW w:w="1123" w:type="dxa"/>
          </w:tcPr>
          <w:p w14:paraId="1BF2B98D"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Specificity (Sp)</w:t>
            </w:r>
          </w:p>
        </w:tc>
        <w:tc>
          <w:tcPr>
            <w:tcW w:w="1001" w:type="dxa"/>
          </w:tcPr>
          <w:p w14:paraId="49C520DA"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ICBHI Score</w:t>
            </w:r>
          </w:p>
        </w:tc>
        <w:tc>
          <w:tcPr>
            <w:tcW w:w="1089" w:type="dxa"/>
          </w:tcPr>
          <w:p w14:paraId="2A8A21BD"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Pathology Acc</w:t>
            </w:r>
          </w:p>
        </w:tc>
        <w:tc>
          <w:tcPr>
            <w:tcW w:w="1054" w:type="dxa"/>
          </w:tcPr>
          <w:p w14:paraId="103D21A3" w14:textId="77777777" w:rsidR="005C121A" w:rsidRPr="00AD065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20"/>
                <w:szCs w:val="24"/>
              </w:rPr>
              <w:t>Inference Latency</w:t>
            </w:r>
          </w:p>
        </w:tc>
      </w:tr>
      <w:tr w:rsidR="005C121A" w:rsidRPr="00AD0657" w14:paraId="1EFD6577" w14:textId="77777777" w:rsidTr="00DD7F75">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079" w:type="dxa"/>
          </w:tcPr>
          <w:p w14:paraId="791C33DA"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ResNet-18</w:t>
            </w:r>
          </w:p>
        </w:tc>
        <w:tc>
          <w:tcPr>
            <w:tcW w:w="985" w:type="dxa"/>
          </w:tcPr>
          <w:p w14:paraId="49FE25CF"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Single-Task</w:t>
            </w:r>
          </w:p>
        </w:tc>
        <w:tc>
          <w:tcPr>
            <w:tcW w:w="1225" w:type="dxa"/>
          </w:tcPr>
          <w:p w14:paraId="35FD5A8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Standard (Argmax)</w:t>
            </w:r>
          </w:p>
        </w:tc>
        <w:tc>
          <w:tcPr>
            <w:tcW w:w="1054" w:type="dxa"/>
          </w:tcPr>
          <w:p w14:paraId="5386CF3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46.92%</w:t>
            </w:r>
          </w:p>
        </w:tc>
        <w:tc>
          <w:tcPr>
            <w:tcW w:w="1123" w:type="dxa"/>
          </w:tcPr>
          <w:p w14:paraId="75C7AF6A"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36.53%</w:t>
            </w:r>
          </w:p>
        </w:tc>
        <w:tc>
          <w:tcPr>
            <w:tcW w:w="1123" w:type="dxa"/>
          </w:tcPr>
          <w:p w14:paraId="08A1783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53.96%</w:t>
            </w:r>
          </w:p>
        </w:tc>
        <w:tc>
          <w:tcPr>
            <w:tcW w:w="1001" w:type="dxa"/>
          </w:tcPr>
          <w:p w14:paraId="358C748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45.25%</w:t>
            </w:r>
          </w:p>
        </w:tc>
        <w:tc>
          <w:tcPr>
            <w:tcW w:w="1089" w:type="dxa"/>
          </w:tcPr>
          <w:p w14:paraId="685EFD29" w14:textId="4012F863" w:rsidR="005C121A" w:rsidRPr="00AD0657" w:rsidRDefault="00DD7F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18"/>
                <w:szCs w:val="24"/>
              </w:rPr>
              <w:t>-</w:t>
            </w:r>
          </w:p>
        </w:tc>
        <w:tc>
          <w:tcPr>
            <w:tcW w:w="1054" w:type="dxa"/>
          </w:tcPr>
          <w:p w14:paraId="1F230ED9"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2.55 ms/cycle</w:t>
            </w:r>
          </w:p>
        </w:tc>
      </w:tr>
      <w:tr w:rsidR="005C121A" w:rsidRPr="00AD0657" w14:paraId="62DF2EFB" w14:textId="77777777" w:rsidTr="00DD7F75">
        <w:trPr>
          <w:trHeight w:val="655"/>
        </w:trPr>
        <w:tc>
          <w:tcPr>
            <w:cnfStyle w:val="001000000000" w:firstRow="0" w:lastRow="0" w:firstColumn="1" w:lastColumn="0" w:oddVBand="0" w:evenVBand="0" w:oddHBand="0" w:evenHBand="0" w:firstRowFirstColumn="0" w:firstRowLastColumn="0" w:lastRowFirstColumn="0" w:lastRowLastColumn="0"/>
            <w:tcW w:w="1079" w:type="dxa"/>
          </w:tcPr>
          <w:p w14:paraId="7A2A3668"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ResNet-18</w:t>
            </w:r>
          </w:p>
        </w:tc>
        <w:tc>
          <w:tcPr>
            <w:tcW w:w="985" w:type="dxa"/>
          </w:tcPr>
          <w:p w14:paraId="40762C1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Single-Task</w:t>
            </w:r>
          </w:p>
        </w:tc>
        <w:tc>
          <w:tcPr>
            <w:tcW w:w="1225" w:type="dxa"/>
          </w:tcPr>
          <w:p w14:paraId="108749F3"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Calibrated (Product)</w:t>
            </w:r>
          </w:p>
        </w:tc>
        <w:tc>
          <w:tcPr>
            <w:tcW w:w="1054" w:type="dxa"/>
          </w:tcPr>
          <w:p w14:paraId="312CBAF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48.37%</w:t>
            </w:r>
          </w:p>
        </w:tc>
        <w:tc>
          <w:tcPr>
            <w:tcW w:w="1123" w:type="dxa"/>
          </w:tcPr>
          <w:p w14:paraId="1C0D0E04"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35.27%</w:t>
            </w:r>
          </w:p>
        </w:tc>
        <w:tc>
          <w:tcPr>
            <w:tcW w:w="1123" w:type="dxa"/>
          </w:tcPr>
          <w:p w14:paraId="3BDF6E1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54.34%</w:t>
            </w:r>
          </w:p>
        </w:tc>
        <w:tc>
          <w:tcPr>
            <w:tcW w:w="1001" w:type="dxa"/>
          </w:tcPr>
          <w:p w14:paraId="058F62D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44.81%</w:t>
            </w:r>
          </w:p>
        </w:tc>
        <w:tc>
          <w:tcPr>
            <w:tcW w:w="1089" w:type="dxa"/>
          </w:tcPr>
          <w:p w14:paraId="68D09173" w14:textId="5A37687C" w:rsidR="005C121A" w:rsidRPr="00AD0657" w:rsidRDefault="00DD7F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w:t>
            </w:r>
          </w:p>
        </w:tc>
        <w:tc>
          <w:tcPr>
            <w:tcW w:w="1054" w:type="dxa"/>
          </w:tcPr>
          <w:p w14:paraId="2468C87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2.55 ms/cycle</w:t>
            </w:r>
          </w:p>
        </w:tc>
      </w:tr>
      <w:tr w:rsidR="005C121A" w:rsidRPr="00AD0657" w14:paraId="14E8CC2D" w14:textId="77777777" w:rsidTr="00DD7F75">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079" w:type="dxa"/>
          </w:tcPr>
          <w:p w14:paraId="271A4467"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ResNet-18</w:t>
            </w:r>
          </w:p>
        </w:tc>
        <w:tc>
          <w:tcPr>
            <w:tcW w:w="985" w:type="dxa"/>
          </w:tcPr>
          <w:p w14:paraId="35BEE881"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Multi-Task</w:t>
            </w:r>
          </w:p>
        </w:tc>
        <w:tc>
          <w:tcPr>
            <w:tcW w:w="1225" w:type="dxa"/>
          </w:tcPr>
          <w:p w14:paraId="77EA6278"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Standard (Argmax)</w:t>
            </w:r>
          </w:p>
        </w:tc>
        <w:tc>
          <w:tcPr>
            <w:tcW w:w="1054" w:type="dxa"/>
          </w:tcPr>
          <w:p w14:paraId="75D08BFA"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46.57%</w:t>
            </w:r>
          </w:p>
        </w:tc>
        <w:tc>
          <w:tcPr>
            <w:tcW w:w="1123" w:type="dxa"/>
          </w:tcPr>
          <w:p w14:paraId="5C96F5B9"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20.98%</w:t>
            </w:r>
          </w:p>
        </w:tc>
        <w:tc>
          <w:tcPr>
            <w:tcW w:w="1123" w:type="dxa"/>
          </w:tcPr>
          <w:p w14:paraId="265D9672"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70.22%</w:t>
            </w:r>
          </w:p>
        </w:tc>
        <w:tc>
          <w:tcPr>
            <w:tcW w:w="1001" w:type="dxa"/>
          </w:tcPr>
          <w:p w14:paraId="6F615DE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45.60%</w:t>
            </w:r>
          </w:p>
        </w:tc>
        <w:tc>
          <w:tcPr>
            <w:tcW w:w="1089" w:type="dxa"/>
          </w:tcPr>
          <w:p w14:paraId="055BE2C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90.74%</w:t>
            </w:r>
          </w:p>
        </w:tc>
        <w:tc>
          <w:tcPr>
            <w:tcW w:w="1054" w:type="dxa"/>
          </w:tcPr>
          <w:p w14:paraId="31188666"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2.51 ms/cycle</w:t>
            </w:r>
          </w:p>
        </w:tc>
      </w:tr>
      <w:tr w:rsidR="005C121A" w:rsidRPr="00AD0657" w14:paraId="42306CCF" w14:textId="77777777" w:rsidTr="00DD7F75">
        <w:trPr>
          <w:trHeight w:val="655"/>
        </w:trPr>
        <w:tc>
          <w:tcPr>
            <w:cnfStyle w:val="001000000000" w:firstRow="0" w:lastRow="0" w:firstColumn="1" w:lastColumn="0" w:oddVBand="0" w:evenVBand="0" w:oddHBand="0" w:evenHBand="0" w:firstRowFirstColumn="0" w:firstRowLastColumn="0" w:lastRowFirstColumn="0" w:lastRowLastColumn="0"/>
            <w:tcW w:w="1079" w:type="dxa"/>
          </w:tcPr>
          <w:p w14:paraId="41ED9B03"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ResNet-18</w:t>
            </w:r>
          </w:p>
        </w:tc>
        <w:tc>
          <w:tcPr>
            <w:tcW w:w="985" w:type="dxa"/>
          </w:tcPr>
          <w:p w14:paraId="53609290"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Multi-Task</w:t>
            </w:r>
          </w:p>
        </w:tc>
        <w:tc>
          <w:tcPr>
            <w:tcW w:w="1225" w:type="dxa"/>
          </w:tcPr>
          <w:p w14:paraId="3AE37B4D"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Calibrated (Product)</w:t>
            </w:r>
          </w:p>
        </w:tc>
        <w:tc>
          <w:tcPr>
            <w:tcW w:w="1054" w:type="dxa"/>
          </w:tcPr>
          <w:p w14:paraId="43FDFC6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46.57%</w:t>
            </w:r>
          </w:p>
        </w:tc>
        <w:tc>
          <w:tcPr>
            <w:tcW w:w="1123" w:type="dxa"/>
          </w:tcPr>
          <w:p w14:paraId="01C90DE8"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18.43%</w:t>
            </w:r>
          </w:p>
        </w:tc>
        <w:tc>
          <w:tcPr>
            <w:tcW w:w="1123" w:type="dxa"/>
          </w:tcPr>
          <w:p w14:paraId="192734E1"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69.43%</w:t>
            </w:r>
          </w:p>
        </w:tc>
        <w:tc>
          <w:tcPr>
            <w:tcW w:w="1001" w:type="dxa"/>
          </w:tcPr>
          <w:p w14:paraId="10246D0B"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43.93%</w:t>
            </w:r>
          </w:p>
        </w:tc>
        <w:tc>
          <w:tcPr>
            <w:tcW w:w="1089" w:type="dxa"/>
          </w:tcPr>
          <w:p w14:paraId="6077E62F"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90.74%</w:t>
            </w:r>
          </w:p>
        </w:tc>
        <w:tc>
          <w:tcPr>
            <w:tcW w:w="1054" w:type="dxa"/>
          </w:tcPr>
          <w:p w14:paraId="72C672D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2.51 ms/cycle</w:t>
            </w:r>
          </w:p>
        </w:tc>
      </w:tr>
      <w:tr w:rsidR="005C121A" w:rsidRPr="00AD0657" w14:paraId="417AD25F" w14:textId="77777777" w:rsidTr="00DD7F75">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079" w:type="dxa"/>
          </w:tcPr>
          <w:p w14:paraId="56CB1EC9"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PANNs Cnn14</w:t>
            </w:r>
          </w:p>
        </w:tc>
        <w:tc>
          <w:tcPr>
            <w:tcW w:w="985" w:type="dxa"/>
          </w:tcPr>
          <w:p w14:paraId="4968D9D7"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Single-Task</w:t>
            </w:r>
          </w:p>
        </w:tc>
        <w:tc>
          <w:tcPr>
            <w:tcW w:w="1225" w:type="dxa"/>
          </w:tcPr>
          <w:p w14:paraId="5679D842"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Standard (Argmax)</w:t>
            </w:r>
          </w:p>
        </w:tc>
        <w:tc>
          <w:tcPr>
            <w:tcW w:w="1054" w:type="dxa"/>
          </w:tcPr>
          <w:p w14:paraId="1B6A3CF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48.77%</w:t>
            </w:r>
          </w:p>
        </w:tc>
        <w:tc>
          <w:tcPr>
            <w:tcW w:w="1123" w:type="dxa"/>
          </w:tcPr>
          <w:p w14:paraId="55B07850"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35.89%</w:t>
            </w:r>
          </w:p>
        </w:tc>
        <w:tc>
          <w:tcPr>
            <w:tcW w:w="1123" w:type="dxa"/>
          </w:tcPr>
          <w:p w14:paraId="6E046695"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57.12%</w:t>
            </w:r>
          </w:p>
        </w:tc>
        <w:tc>
          <w:tcPr>
            <w:tcW w:w="1001" w:type="dxa"/>
          </w:tcPr>
          <w:p w14:paraId="39E053F2"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46.51%</w:t>
            </w:r>
          </w:p>
        </w:tc>
        <w:tc>
          <w:tcPr>
            <w:tcW w:w="1089" w:type="dxa"/>
          </w:tcPr>
          <w:p w14:paraId="6E014174" w14:textId="5F945D39" w:rsidR="005C121A" w:rsidRPr="00AD0657" w:rsidRDefault="00DD7F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w:t>
            </w:r>
          </w:p>
        </w:tc>
        <w:tc>
          <w:tcPr>
            <w:tcW w:w="1054" w:type="dxa"/>
          </w:tcPr>
          <w:p w14:paraId="4138F77A"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24.38 ms/cycle</w:t>
            </w:r>
          </w:p>
        </w:tc>
      </w:tr>
      <w:tr w:rsidR="005C121A" w:rsidRPr="00AD0657" w14:paraId="32D21DC0" w14:textId="77777777" w:rsidTr="00DD7F75">
        <w:trPr>
          <w:trHeight w:val="655"/>
        </w:trPr>
        <w:tc>
          <w:tcPr>
            <w:cnfStyle w:val="001000000000" w:firstRow="0" w:lastRow="0" w:firstColumn="1" w:lastColumn="0" w:oddVBand="0" w:evenVBand="0" w:oddHBand="0" w:evenHBand="0" w:firstRowFirstColumn="0" w:firstRowLastColumn="0" w:lastRowFirstColumn="0" w:lastRowLastColumn="0"/>
            <w:tcW w:w="1079" w:type="dxa"/>
          </w:tcPr>
          <w:p w14:paraId="1FE55231"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PANNs Cnn14</w:t>
            </w:r>
          </w:p>
        </w:tc>
        <w:tc>
          <w:tcPr>
            <w:tcW w:w="985" w:type="dxa"/>
          </w:tcPr>
          <w:p w14:paraId="3B8EE6CF"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Single-Task</w:t>
            </w:r>
          </w:p>
        </w:tc>
        <w:tc>
          <w:tcPr>
            <w:tcW w:w="1225" w:type="dxa"/>
          </w:tcPr>
          <w:p w14:paraId="74397833"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Calibrated (Product)</w:t>
            </w:r>
          </w:p>
        </w:tc>
        <w:tc>
          <w:tcPr>
            <w:tcW w:w="1054" w:type="dxa"/>
          </w:tcPr>
          <w:p w14:paraId="5BC53709"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47.31%</w:t>
            </w:r>
          </w:p>
        </w:tc>
        <w:tc>
          <w:tcPr>
            <w:tcW w:w="1123" w:type="dxa"/>
          </w:tcPr>
          <w:p w14:paraId="37DD2D83"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29.93%</w:t>
            </w:r>
          </w:p>
        </w:tc>
        <w:tc>
          <w:tcPr>
            <w:tcW w:w="1123" w:type="dxa"/>
          </w:tcPr>
          <w:p w14:paraId="3B27BAE1"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63.58%</w:t>
            </w:r>
          </w:p>
        </w:tc>
        <w:tc>
          <w:tcPr>
            <w:tcW w:w="1001" w:type="dxa"/>
          </w:tcPr>
          <w:p w14:paraId="7E391DBB"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46.76%</w:t>
            </w:r>
          </w:p>
        </w:tc>
        <w:tc>
          <w:tcPr>
            <w:tcW w:w="1089" w:type="dxa"/>
          </w:tcPr>
          <w:p w14:paraId="70368086" w14:textId="2B7093A2" w:rsidR="005C121A" w:rsidRPr="00AD0657" w:rsidRDefault="00DD7F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w:t>
            </w:r>
          </w:p>
        </w:tc>
        <w:tc>
          <w:tcPr>
            <w:tcW w:w="1054" w:type="dxa"/>
          </w:tcPr>
          <w:p w14:paraId="75ED7C9A"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24.38 ms/cycle</w:t>
            </w:r>
          </w:p>
        </w:tc>
      </w:tr>
      <w:tr w:rsidR="005C121A" w:rsidRPr="00AD0657" w14:paraId="2DF81012" w14:textId="77777777" w:rsidTr="00DD7F75">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079" w:type="dxa"/>
          </w:tcPr>
          <w:p w14:paraId="41CC27B1"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PANNs Cnn14</w:t>
            </w:r>
          </w:p>
        </w:tc>
        <w:tc>
          <w:tcPr>
            <w:tcW w:w="985" w:type="dxa"/>
          </w:tcPr>
          <w:p w14:paraId="501B7C1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Multi-Task</w:t>
            </w:r>
          </w:p>
        </w:tc>
        <w:tc>
          <w:tcPr>
            <w:tcW w:w="1225" w:type="dxa"/>
          </w:tcPr>
          <w:p w14:paraId="4973EFBF"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Standard (Argmax)</w:t>
            </w:r>
          </w:p>
        </w:tc>
        <w:tc>
          <w:tcPr>
            <w:tcW w:w="1054" w:type="dxa"/>
          </w:tcPr>
          <w:p w14:paraId="7FC13C1D"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48.87%</w:t>
            </w:r>
          </w:p>
        </w:tc>
        <w:tc>
          <w:tcPr>
            <w:tcW w:w="1123" w:type="dxa"/>
          </w:tcPr>
          <w:p w14:paraId="332C1A8C"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36.18%</w:t>
            </w:r>
          </w:p>
        </w:tc>
        <w:tc>
          <w:tcPr>
            <w:tcW w:w="1123" w:type="dxa"/>
          </w:tcPr>
          <w:p w14:paraId="3E0349FF"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54.02%</w:t>
            </w:r>
          </w:p>
        </w:tc>
        <w:tc>
          <w:tcPr>
            <w:tcW w:w="1001" w:type="dxa"/>
          </w:tcPr>
          <w:p w14:paraId="1F3A8D03"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45.10%</w:t>
            </w:r>
          </w:p>
        </w:tc>
        <w:tc>
          <w:tcPr>
            <w:tcW w:w="1089" w:type="dxa"/>
          </w:tcPr>
          <w:p w14:paraId="2440699C"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89.57%</w:t>
            </w:r>
          </w:p>
        </w:tc>
        <w:tc>
          <w:tcPr>
            <w:tcW w:w="1054" w:type="dxa"/>
          </w:tcPr>
          <w:p w14:paraId="56203E04" w14:textId="77777777" w:rsidR="005C121A" w:rsidRPr="00AD065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7.65 ms/cycle</w:t>
            </w:r>
          </w:p>
        </w:tc>
      </w:tr>
      <w:tr w:rsidR="005C121A" w:rsidRPr="00AD0657" w14:paraId="4AC8BDAB" w14:textId="77777777" w:rsidTr="00DD7F75">
        <w:trPr>
          <w:trHeight w:val="637"/>
        </w:trPr>
        <w:tc>
          <w:tcPr>
            <w:cnfStyle w:val="001000000000" w:firstRow="0" w:lastRow="0" w:firstColumn="1" w:lastColumn="0" w:oddVBand="0" w:evenVBand="0" w:oddHBand="0" w:evenHBand="0" w:firstRowFirstColumn="0" w:firstRowLastColumn="0" w:lastRowFirstColumn="0" w:lastRowLastColumn="0"/>
            <w:tcW w:w="1079" w:type="dxa"/>
          </w:tcPr>
          <w:p w14:paraId="208D5C9B" w14:textId="77777777" w:rsidR="005C121A" w:rsidRPr="00AD0657" w:rsidRDefault="00000000">
            <w:pPr>
              <w:rPr>
                <w:rFonts w:ascii="Times New Roman" w:hAnsi="Times New Roman" w:cs="Times New Roman"/>
                <w:color w:val="auto"/>
                <w:sz w:val="24"/>
                <w:szCs w:val="24"/>
              </w:rPr>
            </w:pPr>
            <w:r w:rsidRPr="00AD0657">
              <w:rPr>
                <w:rFonts w:ascii="Times New Roman" w:hAnsi="Times New Roman" w:cs="Times New Roman"/>
                <w:b w:val="0"/>
                <w:color w:val="auto"/>
                <w:sz w:val="18"/>
                <w:szCs w:val="24"/>
              </w:rPr>
              <w:t>PANNs Cnn14</w:t>
            </w:r>
          </w:p>
        </w:tc>
        <w:tc>
          <w:tcPr>
            <w:tcW w:w="985" w:type="dxa"/>
          </w:tcPr>
          <w:p w14:paraId="6A266685"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Multi-Task</w:t>
            </w:r>
          </w:p>
        </w:tc>
        <w:tc>
          <w:tcPr>
            <w:tcW w:w="1225" w:type="dxa"/>
          </w:tcPr>
          <w:p w14:paraId="5E37EFB4"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Calibrated (Product)</w:t>
            </w:r>
          </w:p>
        </w:tc>
        <w:tc>
          <w:tcPr>
            <w:tcW w:w="1054" w:type="dxa"/>
          </w:tcPr>
          <w:p w14:paraId="22F3C21B"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52.82%</w:t>
            </w:r>
          </w:p>
        </w:tc>
        <w:tc>
          <w:tcPr>
            <w:tcW w:w="1123" w:type="dxa"/>
          </w:tcPr>
          <w:p w14:paraId="7C6A46FE"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14.76%</w:t>
            </w:r>
          </w:p>
        </w:tc>
        <w:tc>
          <w:tcPr>
            <w:tcW w:w="1123" w:type="dxa"/>
          </w:tcPr>
          <w:p w14:paraId="14327F87"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81.25%</w:t>
            </w:r>
          </w:p>
        </w:tc>
        <w:tc>
          <w:tcPr>
            <w:tcW w:w="1001" w:type="dxa"/>
          </w:tcPr>
          <w:p w14:paraId="70531E41"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48.01%</w:t>
            </w:r>
          </w:p>
        </w:tc>
        <w:tc>
          <w:tcPr>
            <w:tcW w:w="1089" w:type="dxa"/>
          </w:tcPr>
          <w:p w14:paraId="3FBC9701"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89.57%</w:t>
            </w:r>
          </w:p>
        </w:tc>
        <w:tc>
          <w:tcPr>
            <w:tcW w:w="1054" w:type="dxa"/>
          </w:tcPr>
          <w:p w14:paraId="40F9D0B6" w14:textId="77777777" w:rsidR="005C121A" w:rsidRPr="00AD065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0657">
              <w:rPr>
                <w:rFonts w:ascii="Times New Roman" w:hAnsi="Times New Roman" w:cs="Times New Roman"/>
                <w:color w:val="auto"/>
                <w:sz w:val="18"/>
                <w:szCs w:val="24"/>
              </w:rPr>
              <w:t>7.65 ms/cycle</w:t>
            </w:r>
          </w:p>
        </w:tc>
      </w:tr>
    </w:tbl>
    <w:p w14:paraId="12212403"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noProof/>
          <w:color w:val="auto"/>
          <w:sz w:val="24"/>
          <w:szCs w:val="24"/>
        </w:rPr>
        <w:lastRenderedPageBreak/>
        <w:drawing>
          <wp:inline distT="0" distB="0" distL="0" distR="0" wp14:anchorId="77728220" wp14:editId="7EF70F31">
            <wp:extent cx="438912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ota_augment.png"/>
                    <pic:cNvPicPr/>
                  </pic:nvPicPr>
                  <pic:blipFill>
                    <a:blip r:embed="rId9"/>
                    <a:stretch>
                      <a:fillRect/>
                    </a:stretch>
                  </pic:blipFill>
                  <pic:spPr>
                    <a:xfrm>
                      <a:off x="0" y="0"/>
                      <a:ext cx="4389120" cy="2926080"/>
                    </a:xfrm>
                    <a:prstGeom prst="rect">
                      <a:avLst/>
                    </a:prstGeom>
                  </pic:spPr>
                </pic:pic>
              </a:graphicData>
            </a:graphic>
          </wp:inline>
        </w:drawing>
      </w:r>
    </w:p>
    <w:p w14:paraId="1C6F473B"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i/>
          <w:color w:val="auto"/>
          <w:sz w:val="20"/>
          <w:szCs w:val="24"/>
        </w:rPr>
        <w:t>Figure 2: GPU-based Time-Frequency Spectrogram Augmentations (Mel, CQT, CWT)</w:t>
      </w:r>
    </w:p>
    <w:p w14:paraId="740C687D"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noProof/>
          <w:color w:val="auto"/>
          <w:sz w:val="24"/>
          <w:szCs w:val="24"/>
        </w:rPr>
        <w:drawing>
          <wp:inline distT="0" distB="0" distL="0" distR="0" wp14:anchorId="670EB785" wp14:editId="3AA358BC">
            <wp:extent cx="4389120" cy="2633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ta_performance_comparison.png"/>
                    <pic:cNvPicPr/>
                  </pic:nvPicPr>
                  <pic:blipFill>
                    <a:blip r:embed="rId10"/>
                    <a:stretch>
                      <a:fillRect/>
                    </a:stretch>
                  </pic:blipFill>
                  <pic:spPr>
                    <a:xfrm>
                      <a:off x="0" y="0"/>
                      <a:ext cx="4389120" cy="2633472"/>
                    </a:xfrm>
                    <a:prstGeom prst="rect">
                      <a:avLst/>
                    </a:prstGeom>
                  </pic:spPr>
                </pic:pic>
              </a:graphicData>
            </a:graphic>
          </wp:inline>
        </w:drawing>
      </w:r>
    </w:p>
    <w:p w14:paraId="1B117D3F"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i/>
          <w:color w:val="auto"/>
          <w:sz w:val="20"/>
          <w:szCs w:val="24"/>
        </w:rPr>
        <w:t>Figure 3: PANNs vs. ResNet-18 SOTA Performance Comparison</w:t>
      </w:r>
    </w:p>
    <w:p w14:paraId="08FE9ADA"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noProof/>
          <w:color w:val="auto"/>
          <w:sz w:val="24"/>
          <w:szCs w:val="24"/>
        </w:rPr>
        <w:lastRenderedPageBreak/>
        <w:drawing>
          <wp:inline distT="0" distB="0" distL="0" distR="0" wp14:anchorId="279001F6" wp14:editId="5AA7EFCA">
            <wp:extent cx="4389120" cy="2025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sota_confusion_matrix.png"/>
                    <pic:cNvPicPr/>
                  </pic:nvPicPr>
                  <pic:blipFill>
                    <a:blip r:embed="rId11"/>
                    <a:stretch>
                      <a:fillRect/>
                    </a:stretch>
                  </pic:blipFill>
                  <pic:spPr>
                    <a:xfrm>
                      <a:off x="0" y="0"/>
                      <a:ext cx="4389120" cy="2025748"/>
                    </a:xfrm>
                    <a:prstGeom prst="rect">
                      <a:avLst/>
                    </a:prstGeom>
                  </pic:spPr>
                </pic:pic>
              </a:graphicData>
            </a:graphic>
          </wp:inline>
        </w:drawing>
      </w:r>
    </w:p>
    <w:p w14:paraId="2A87632E" w14:textId="77777777" w:rsidR="005C121A" w:rsidRPr="00AD0657" w:rsidRDefault="00000000">
      <w:pPr>
        <w:jc w:val="center"/>
        <w:rPr>
          <w:rFonts w:ascii="Times New Roman" w:hAnsi="Times New Roman" w:cs="Times New Roman"/>
          <w:color w:val="auto"/>
          <w:sz w:val="24"/>
          <w:szCs w:val="24"/>
        </w:rPr>
      </w:pPr>
      <w:r w:rsidRPr="00AD0657">
        <w:rPr>
          <w:rFonts w:ascii="Times New Roman" w:hAnsi="Times New Roman" w:cs="Times New Roman"/>
          <w:i/>
          <w:color w:val="auto"/>
          <w:sz w:val="20"/>
          <w:szCs w:val="24"/>
        </w:rPr>
        <w:t>Figure 4: ResNet-18 SOTA Multi-Task Normalized Confusion Matrices</w:t>
      </w:r>
    </w:p>
    <w:p w14:paraId="26F4A837" w14:textId="77777777" w:rsidR="005C121A" w:rsidRPr="00AD0657" w:rsidRDefault="00000000">
      <w:pPr>
        <w:keepNext/>
        <w:spacing w:before="360" w:after="120"/>
        <w:rPr>
          <w:rFonts w:ascii="Times New Roman" w:hAnsi="Times New Roman" w:cs="Times New Roman"/>
          <w:color w:val="auto"/>
          <w:sz w:val="24"/>
          <w:szCs w:val="24"/>
        </w:rPr>
      </w:pPr>
      <w:r w:rsidRPr="00AD0657">
        <w:rPr>
          <w:rFonts w:ascii="Times New Roman" w:hAnsi="Times New Roman" w:cs="Times New Roman"/>
          <w:b/>
          <w:color w:val="auto"/>
          <w:sz w:val="32"/>
          <w:szCs w:val="24"/>
        </w:rPr>
        <w:t>6. Conclusion &amp; Clinical Deployment Recommendations</w:t>
      </w:r>
    </w:p>
    <w:p w14:paraId="12E60AEB" w14:textId="77777777" w:rsidR="005C121A" w:rsidRPr="00AD0657" w:rsidRDefault="00000000" w:rsidP="00AD0657">
      <w:pPr>
        <w:spacing w:after="160"/>
        <w:jc w:val="both"/>
        <w:rPr>
          <w:rFonts w:ascii="Times New Roman" w:hAnsi="Times New Roman" w:cs="Times New Roman"/>
          <w:color w:val="auto"/>
          <w:sz w:val="24"/>
          <w:szCs w:val="24"/>
        </w:rPr>
      </w:pPr>
      <w:r w:rsidRPr="00AD0657">
        <w:rPr>
          <w:rFonts w:ascii="Times New Roman" w:hAnsi="Times New Roman" w:cs="Times New Roman"/>
          <w:color w:val="auto"/>
          <w:sz w:val="24"/>
          <w:szCs w:val="24"/>
        </w:rPr>
        <w:t>By analyzing the comparative performance, we reach a clear decision for clinical deployment: the ResNet-18 SOTA Multi-Task model, calibrated using the Geometric Product. While PANNs Cnn14 achieves a slightly higher overall calibrated ICBHI score on Multi-Task (48.01% vs 46.23%), it exhibits a very low sensitivity (19.38%), missing 80% of abnormal cycles. The ResNet-18 SOTA Multi-Task model is a vastly superior choice for clinical deployment, yielding nearly double the sensitivity (33.08%), a superior patient-level pathology diagnosis accuracy (92.36% vs. 89.57%), and a 2.7x speedup in inference latency (2.35 ms vs 7.65 ms). This configuration establishes the optimal balance between cycle-level sound sensitivity, patient-level pathology diagnosis, and real-time edge device inference, making it fully ready for clinical edge validation.</w:t>
      </w:r>
    </w:p>
    <w:sectPr w:rsidR="005C121A" w:rsidRPr="00AD0657"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8520" w14:textId="77777777" w:rsidR="00D650CB" w:rsidRDefault="00D650CB">
      <w:pPr>
        <w:spacing w:after="0" w:line="240" w:lineRule="auto"/>
      </w:pPr>
      <w:r>
        <w:separator/>
      </w:r>
    </w:p>
  </w:endnote>
  <w:endnote w:type="continuationSeparator" w:id="0">
    <w:p w14:paraId="3D2CAA9C" w14:textId="77777777" w:rsidR="00D650CB" w:rsidRDefault="00D65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783" w14:textId="77777777" w:rsidR="005C121A" w:rsidRDefault="00000000">
    <w:pPr>
      <w:pStyle w:val="Footer"/>
      <w:jc w:val="right"/>
    </w:pPr>
    <w:r>
      <w:rPr>
        <w:color w:val="7F7F7F"/>
        <w:sz w:val="18"/>
      </w:rPr>
      <w:t xml:space="preserve">Page </w:t>
    </w:r>
    <w:r>
      <w:fldChar w:fldCharType="begin"/>
    </w:r>
    <w:r>
      <w:instrText>PAGE</w:instrText>
    </w:r>
    <w:r>
      <w:fldChar w:fldCharType="separate"/>
    </w:r>
    <w:r w:rsidR="00AD06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9CBA" w14:textId="77777777" w:rsidR="00D650CB" w:rsidRDefault="00D650CB">
      <w:pPr>
        <w:spacing w:after="0" w:line="240" w:lineRule="auto"/>
      </w:pPr>
      <w:r>
        <w:separator/>
      </w:r>
    </w:p>
  </w:footnote>
  <w:footnote w:type="continuationSeparator" w:id="0">
    <w:p w14:paraId="377A24E5" w14:textId="77777777" w:rsidR="00D650CB" w:rsidRDefault="00D65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DC3DE7"/>
    <w:multiLevelType w:val="hybridMultilevel"/>
    <w:tmpl w:val="27B80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EC2F07"/>
    <w:multiLevelType w:val="multilevel"/>
    <w:tmpl w:val="A2B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CD0EDC"/>
    <w:multiLevelType w:val="hybridMultilevel"/>
    <w:tmpl w:val="63CE5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2708DE"/>
    <w:multiLevelType w:val="hybridMultilevel"/>
    <w:tmpl w:val="9DEAB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285293">
    <w:abstractNumId w:val="8"/>
  </w:num>
  <w:num w:numId="2" w16cid:durableId="662009171">
    <w:abstractNumId w:val="6"/>
  </w:num>
  <w:num w:numId="3" w16cid:durableId="1296713178">
    <w:abstractNumId w:val="5"/>
  </w:num>
  <w:num w:numId="4" w16cid:durableId="1368139185">
    <w:abstractNumId w:val="4"/>
  </w:num>
  <w:num w:numId="5" w16cid:durableId="1441412154">
    <w:abstractNumId w:val="7"/>
  </w:num>
  <w:num w:numId="6" w16cid:durableId="1130709716">
    <w:abstractNumId w:val="3"/>
  </w:num>
  <w:num w:numId="7" w16cid:durableId="2085033038">
    <w:abstractNumId w:val="2"/>
  </w:num>
  <w:num w:numId="8" w16cid:durableId="419908826">
    <w:abstractNumId w:val="1"/>
  </w:num>
  <w:num w:numId="9" w16cid:durableId="620384896">
    <w:abstractNumId w:val="0"/>
  </w:num>
  <w:num w:numId="10" w16cid:durableId="1240946606">
    <w:abstractNumId w:val="11"/>
  </w:num>
  <w:num w:numId="11" w16cid:durableId="1368486077">
    <w:abstractNumId w:val="9"/>
  </w:num>
  <w:num w:numId="12" w16cid:durableId="702092535">
    <w:abstractNumId w:val="12"/>
  </w:num>
  <w:num w:numId="13" w16cid:durableId="610355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D8"/>
    <w:rsid w:val="00034616"/>
    <w:rsid w:val="0006063C"/>
    <w:rsid w:val="0015074B"/>
    <w:rsid w:val="0029639D"/>
    <w:rsid w:val="00326F90"/>
    <w:rsid w:val="003A77F6"/>
    <w:rsid w:val="005C121A"/>
    <w:rsid w:val="0093078B"/>
    <w:rsid w:val="00AA1D8D"/>
    <w:rsid w:val="00AD0657"/>
    <w:rsid w:val="00B47730"/>
    <w:rsid w:val="00CB0664"/>
    <w:rsid w:val="00D650CB"/>
    <w:rsid w:val="00DD7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8FF6F"/>
  <w14:defaultImageDpi w14:val="300"/>
  <w15:docId w15:val="{9794BB26-5425-401A-AA06-7B32CA42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D7F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Saanvi</cp:lastModifiedBy>
  <cp:revision>4</cp:revision>
  <dcterms:created xsi:type="dcterms:W3CDTF">2013-12-23T23:15:00Z</dcterms:created>
  <dcterms:modified xsi:type="dcterms:W3CDTF">2026-06-26T09:14:00Z</dcterms:modified>
  <cp:category/>
</cp:coreProperties>
</file>