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4C371" w14:textId="77777777" w:rsidR="00332DE1" w:rsidRDefault="00000000">
      <w:pPr>
        <w:spacing w:before="360" w:after="240"/>
        <w:jc w:val="center"/>
      </w:pPr>
      <w:r>
        <w:rPr>
          <w:b/>
          <w:color w:val="1B365D"/>
          <w:sz w:val="32"/>
        </w:rPr>
        <w:t>A Spatial-Temporal Conformer Framework with Multi-Branch Time-Frequency Fusion and Patient-Invariant Contrastive Learning for Joint Respiratory Sound Classification and Disease Diagnosis</w:t>
      </w:r>
    </w:p>
    <w:p w14:paraId="02C5482F" w14:textId="77777777" w:rsidR="00332DE1" w:rsidRDefault="00000000">
      <w:pPr>
        <w:spacing w:before="240" w:after="120"/>
      </w:pPr>
      <w:r>
        <w:rPr>
          <w:b/>
          <w:color w:val="1B365D"/>
          <w:sz w:val="24"/>
        </w:rPr>
        <w:t>Abstract</w:t>
      </w:r>
    </w:p>
    <w:p w14:paraId="656EF456" w14:textId="77777777" w:rsidR="00332DE1" w:rsidRDefault="00000000" w:rsidP="00D553A7">
      <w:pPr>
        <w:spacing w:after="360"/>
        <w:ind w:right="4"/>
        <w:jc w:val="both"/>
      </w:pPr>
      <w:r>
        <w:rPr>
          <w:sz w:val="20"/>
        </w:rPr>
        <w:t>Objective: Traditional chest auscultation using stethoscopes is highly subjective and vulnerable to inter-observer variability. We propose a novel deep learning framework for joint respiratory cycle anomaly detection and patient-level pathology classification that overcomes patient-specific acoustic biases and data leakage. Methods: Raw lung recordings from the ICBHI 2017 database are filtered and segmented into cycles. A multi-branch frontend extracts Mel Spectrograms, Constant-Q Transform (CQT), and Continuous Wavelet Transform (CWT) features. These representations are fused via a Cross-Attention Late Fusion layer to align temporal and harmonic properties. Sequence modeling is performed using a spatial-temporal Conformer block. To eliminate patient-specific recording and physiological biases, we introduce a Patient-Invariant Supervised Contrastive Loss (InfoNCE) on patient IDs. Finally, we balance cycle classification, pathology diagnosis, and contrastive losses using a learnable Homoscedastic Uncertainty loss weighting module. Results: Under the strict, leakage-free patient-wise ICBHI split, our framework achieves a peak cycle anomaly detection Sensitivity of 45.08%, a joint patient-level pathology classification accuracy of 93.03%, and a low inference latency of 4.36 ms per cycle. Conclusion: The proposed framework outperforms standard challenge baselines and represents a highly generalizable, low-latency solution suitable for real-world clinical screening and edge-device deployment.</w:t>
      </w:r>
    </w:p>
    <w:p w14:paraId="6CA06919" w14:textId="77777777" w:rsidR="00332DE1" w:rsidRDefault="00000000" w:rsidP="00D553A7">
      <w:pPr>
        <w:spacing w:after="480"/>
        <w:ind w:right="4"/>
      </w:pPr>
      <w:r>
        <w:rPr>
          <w:b/>
          <w:sz w:val="20"/>
        </w:rPr>
        <w:t xml:space="preserve">Keywords: </w:t>
      </w:r>
      <w:r>
        <w:rPr>
          <w:sz w:val="20"/>
        </w:rPr>
        <w:t>Auscultation, Conformer, Cross-Attention Late Fusion, Patient-Invariant Contrastive Loss, Homoscedastic Uncertainty, Multi-Task Learning.</w:t>
      </w:r>
    </w:p>
    <w:p w14:paraId="60ECDD77" w14:textId="77777777" w:rsidR="00332DE1" w:rsidRDefault="00000000">
      <w:pPr>
        <w:spacing w:before="360" w:after="120"/>
      </w:pPr>
      <w:r>
        <w:rPr>
          <w:b/>
          <w:color w:val="1B365D"/>
          <w:sz w:val="26"/>
        </w:rPr>
        <w:t>1. Introduction</w:t>
      </w:r>
    </w:p>
    <w:p w14:paraId="79F901F5" w14:textId="77777777" w:rsidR="00332DE1" w:rsidRDefault="00000000">
      <w:pPr>
        <w:spacing w:after="240"/>
        <w:jc w:val="both"/>
      </w:pPr>
      <w:r>
        <w:t>Auscultation of respiratory sounds using acoustic stethoscopes has been a primary clinical screening method for pulmonary diseases for over two centuries. However, the interpretation of adventitious sounds such as crackles (short, transient, explosive sounds associated with restrictive diseases) and wheezes (continuous, high-pitched sinusoidal sounds associated with obstructive conditions) is heavily dependent on the clinician's hearing, experience, and the acoustic quality of the examination room. Furthermore, rural and low-resource clinics often lack specialized pulmonologists, leading to delays in the diagnosis of critical conditions such as Chronic Obstructive Pulmonary Disease (COPD) and Pneumonia.</w:t>
      </w:r>
    </w:p>
    <w:p w14:paraId="60CD0B23" w14:textId="77777777" w:rsidR="00332DE1" w:rsidRDefault="00000000">
      <w:pPr>
        <w:spacing w:after="240"/>
        <w:jc w:val="both"/>
      </w:pPr>
      <w:r>
        <w:t xml:space="preserve">In recent years, the development of deep learning models has opened the door for automated respiratory sound classification. However, existing literature is bottlenecked by two major scientific challenges. First, many published studies report artificially inflated accuracies (exceeding 85%) due to data leakage. By using random train/test splits, different breath cycles from the exact same patient recording are distributed to both training and test subsets. Consequently, the models simply memorize patient-specific acoustic signatures (such as microphone properties, body mass, and background noise) rather than identifying respiratory anomalies. When evaluated on unseen patients using strict patient-wise partitioning, the performance of these models drops precipitously. Second, respiratory sound classification (cycle level) </w:t>
      </w:r>
      <w:r>
        <w:lastRenderedPageBreak/>
        <w:t>and pathology diagnosis (subject level) have traditionally been treated as isolated tasks, requiring separate architectures and increasing clinical latency.</w:t>
      </w:r>
    </w:p>
    <w:p w14:paraId="296C7051" w14:textId="77777777" w:rsidR="00D553A7" w:rsidRDefault="00000000">
      <w:pPr>
        <w:spacing w:after="240"/>
        <w:jc w:val="both"/>
      </w:pPr>
      <w:r>
        <w:t xml:space="preserve">To overcome these limitations, we present a unified spatial-temporal Multi-Task learning framework. The contributions of this work are threefold: </w:t>
      </w:r>
    </w:p>
    <w:p w14:paraId="4A3441EA" w14:textId="41A22BA4" w:rsidR="00D553A7" w:rsidRDefault="00000000" w:rsidP="00D553A7">
      <w:pPr>
        <w:pStyle w:val="ListParagraph"/>
        <w:numPr>
          <w:ilvl w:val="0"/>
          <w:numId w:val="10"/>
        </w:numPr>
        <w:spacing w:after="240"/>
        <w:jc w:val="both"/>
      </w:pPr>
      <w:r>
        <w:t>We stack Mel-spectrograms, Constant-Q Transforms (CQT), and Continuous Wavelet Transforms (CWT) into a 3-channel time-frequency tensor, and align them using a Cross-Attention Late Fusion layer to capture both harmonic and transient characteristics.</w:t>
      </w:r>
    </w:p>
    <w:p w14:paraId="6E556180" w14:textId="61807F17" w:rsidR="00D553A7" w:rsidRDefault="00000000" w:rsidP="00D553A7">
      <w:pPr>
        <w:pStyle w:val="ListParagraph"/>
        <w:numPr>
          <w:ilvl w:val="0"/>
          <w:numId w:val="10"/>
        </w:numPr>
        <w:spacing w:after="240"/>
        <w:jc w:val="both"/>
      </w:pPr>
      <w:r>
        <w:t>We implement a lightweight Conformer block combining multi-head self-attention and 1D depthwise convolutions to preserve temporal sequence resolution while capturing global and local breathing dynamics.</w:t>
      </w:r>
    </w:p>
    <w:p w14:paraId="353136BA" w14:textId="0B6C2909" w:rsidR="00332DE1" w:rsidRDefault="00000000" w:rsidP="00D553A7">
      <w:pPr>
        <w:pStyle w:val="ListParagraph"/>
        <w:numPr>
          <w:ilvl w:val="0"/>
          <w:numId w:val="10"/>
        </w:numPr>
        <w:spacing w:after="240"/>
        <w:jc w:val="both"/>
      </w:pPr>
      <w:r>
        <w:t>We introduce a Patient-Invariant Contrastive Loss (InfoNCE) on patient IDs to force the encoder to ignore patient-specific acoustic signatures, and optimize the multi-task objective using a learnable Homoscedastic Uncertainty loss balancer.</w:t>
      </w:r>
    </w:p>
    <w:p w14:paraId="3C0D3E75" w14:textId="77777777" w:rsidR="00332DE1" w:rsidRDefault="00000000">
      <w:pPr>
        <w:spacing w:before="360" w:after="120"/>
      </w:pPr>
      <w:r>
        <w:rPr>
          <w:b/>
          <w:color w:val="1B365D"/>
          <w:sz w:val="26"/>
        </w:rPr>
        <w:t>2. Methodology</w:t>
      </w:r>
    </w:p>
    <w:p w14:paraId="6321F3E1" w14:textId="77777777" w:rsidR="00332DE1" w:rsidRDefault="00000000">
      <w:pPr>
        <w:spacing w:after="240"/>
        <w:jc w:val="both"/>
      </w:pPr>
      <w:r>
        <w:t>The proposed framework comprises five stages: preprocessing, multi-branch frontend extraction, cross-attention fusion, temporal sequence modeling, and multi-task learning. Raw audio signals are first resampled to 4,000 Hz, bandpass-filtered using a 4th-order Butterworth digital filter (100 Hz to 1,999 Hz) to eliminate cardiac and muscle noise, and segmented into respiration cycles of 3.0 seconds.</w:t>
      </w:r>
    </w:p>
    <w:p w14:paraId="2895F5BA" w14:textId="77777777" w:rsidR="00332DE1" w:rsidRDefault="00000000">
      <w:pPr>
        <w:spacing w:before="240" w:after="80"/>
      </w:pPr>
      <w:r>
        <w:rPr>
          <w:b/>
        </w:rPr>
        <w:t>2.1. Multi-Branch Time-Frequency Frontend</w:t>
      </w:r>
    </w:p>
    <w:p w14:paraId="790A72A2" w14:textId="77777777" w:rsidR="00D553A7" w:rsidRDefault="00000000">
      <w:pPr>
        <w:spacing w:after="240"/>
        <w:jc w:val="both"/>
      </w:pPr>
      <w:r>
        <w:t xml:space="preserve">Standard convolutional neural networks expect three-channel inputs. Rather than copying a single spectrogram channel across three inputs, we compile three distinct signal transforms: </w:t>
      </w:r>
    </w:p>
    <w:p w14:paraId="541FA852" w14:textId="1BB29BA0" w:rsidR="00D553A7" w:rsidRDefault="00000000" w:rsidP="00D553A7">
      <w:pPr>
        <w:pStyle w:val="ListParagraph"/>
        <w:numPr>
          <w:ilvl w:val="0"/>
          <w:numId w:val="12"/>
        </w:numPr>
        <w:spacing w:after="240"/>
        <w:jc w:val="both"/>
      </w:pPr>
      <w:r>
        <w:t>Mel-spectrogram (Channel 1) captures the overall envelope of breath sounds.</w:t>
      </w:r>
    </w:p>
    <w:p w14:paraId="60B0FB00" w14:textId="299F126B" w:rsidR="00D553A7" w:rsidRDefault="00000000" w:rsidP="00D553A7">
      <w:pPr>
        <w:pStyle w:val="ListParagraph"/>
        <w:numPr>
          <w:ilvl w:val="0"/>
          <w:numId w:val="12"/>
        </w:numPr>
        <w:spacing w:after="240"/>
        <w:jc w:val="both"/>
      </w:pPr>
      <w:r>
        <w:t>Constant-Q Transform (CQT, Channel 2) uses geometrically spaced frequency bins, which resolves low-frequency wheezing harmonics.</w:t>
      </w:r>
    </w:p>
    <w:p w14:paraId="1C00A522" w14:textId="0AF1D746" w:rsidR="00332DE1" w:rsidRDefault="00000000" w:rsidP="00D553A7">
      <w:pPr>
        <w:pStyle w:val="ListParagraph"/>
        <w:numPr>
          <w:ilvl w:val="0"/>
          <w:numId w:val="12"/>
        </w:numPr>
        <w:spacing w:after="240"/>
        <w:jc w:val="both"/>
      </w:pPr>
      <w:r>
        <w:t>Continuous Wavelet Transform (CWT, Channel 3) utilizes the Mexican Hat wavelet to maximize time resolution, capturing sharp transient crackles.</w:t>
      </w:r>
    </w:p>
    <w:p w14:paraId="5FCBC48B" w14:textId="77777777" w:rsidR="00332DE1" w:rsidRDefault="00000000">
      <w:pPr>
        <w:spacing w:before="120" w:after="40"/>
        <w:jc w:val="center"/>
      </w:pPr>
      <w:r>
        <w:rPr>
          <w:noProof/>
        </w:rPr>
        <w:lastRenderedPageBreak/>
        <w:drawing>
          <wp:inline distT="0" distB="0" distL="0" distR="0" wp14:anchorId="289E1148" wp14:editId="5309BCC4">
            <wp:extent cx="41148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_sota_augment.png"/>
                    <pic:cNvPicPr/>
                  </pic:nvPicPr>
                  <pic:blipFill>
                    <a:blip r:embed="rId6"/>
                    <a:stretch>
                      <a:fillRect/>
                    </a:stretch>
                  </pic:blipFill>
                  <pic:spPr>
                    <a:xfrm>
                      <a:off x="0" y="0"/>
                      <a:ext cx="4114800" cy="2743200"/>
                    </a:xfrm>
                    <a:prstGeom prst="rect">
                      <a:avLst/>
                    </a:prstGeom>
                  </pic:spPr>
                </pic:pic>
              </a:graphicData>
            </a:graphic>
          </wp:inline>
        </w:drawing>
      </w:r>
    </w:p>
    <w:p w14:paraId="273FF55E" w14:textId="77777777" w:rsidR="00332DE1" w:rsidRDefault="00000000">
      <w:pPr>
        <w:spacing w:before="40" w:after="240"/>
        <w:jc w:val="center"/>
      </w:pPr>
      <w:r>
        <w:rPr>
          <w:i/>
          <w:sz w:val="18"/>
        </w:rPr>
        <w:t>Figure 1: Time-frequency frontend data augmentation pipeline (circular shift, noise injection, SpecAugment masking).</w:t>
      </w:r>
    </w:p>
    <w:p w14:paraId="5BB4EE10" w14:textId="77777777" w:rsidR="00332DE1" w:rsidRDefault="00000000">
      <w:pPr>
        <w:spacing w:before="240" w:after="80"/>
      </w:pPr>
      <w:r>
        <w:rPr>
          <w:b/>
        </w:rPr>
        <w:t>2.2. Cross-Attention Late Fusion</w:t>
      </w:r>
    </w:p>
    <w:p w14:paraId="471DD0A0" w14:textId="77777777" w:rsidR="00332DE1" w:rsidRDefault="00000000">
      <w:pPr>
        <w:spacing w:after="240"/>
        <w:jc w:val="both"/>
      </w:pPr>
      <w:r>
        <w:t>To fuse features without losing channel-specific properties, each channel is processed by its own ResNet-18 branch. The outputs of layer 4 (B, 512, 4, 4) are flattened to (B, 16, 512) and augmented with learned branch embeddings and spatial position embeddings. A Multi-Head Self-Attention block calculates cross-attention across all combined branches, aligning time, frequency, and wavelet domains. The aligned sequence is projected back to 512 dimensions and reshaped to (B, 512, 4, 4) for temporal sequence pooling.</w:t>
      </w:r>
    </w:p>
    <w:p w14:paraId="5DD96AC8" w14:textId="77777777" w:rsidR="00332DE1" w:rsidRDefault="00000000">
      <w:pPr>
        <w:spacing w:before="240" w:after="80"/>
      </w:pPr>
      <w:r>
        <w:rPr>
          <w:b/>
        </w:rPr>
        <w:t>2.3. Temporal Sequence Modeling &amp; Conformer Integration</w:t>
      </w:r>
    </w:p>
    <w:p w14:paraId="78E260A1" w14:textId="77777777" w:rsidR="00332DE1" w:rsidRDefault="00000000">
      <w:pPr>
        <w:spacing w:after="240"/>
        <w:jc w:val="both"/>
      </w:pPr>
      <w:r>
        <w:t>Baseline CNN-LSTM models flatten spatial maps to length 4, which is a major sequence bottleneck. We implement a High-Resolution Sequence projection layer: the 16 spatial cells are projected to a sequence length of 32 steps using a linear layer. For sequence classification, we implement a lightweight Conformer block (comprising Macaron feed-forward layers, self-attention, and Conv1D modules). This allows the model to capture local breath segment details and global breathing cycle transitions simultaneously.</w:t>
      </w:r>
    </w:p>
    <w:p w14:paraId="1FA208DC" w14:textId="77777777" w:rsidR="00332DE1" w:rsidRDefault="00000000">
      <w:pPr>
        <w:spacing w:before="240" w:after="80"/>
      </w:pPr>
      <w:r>
        <w:rPr>
          <w:b/>
        </w:rPr>
        <w:t>2.4. Patient-Invariant Contrastive Regularization</w:t>
      </w:r>
    </w:p>
    <w:p w14:paraId="263AA9E1" w14:textId="77777777" w:rsidR="00332DE1" w:rsidRDefault="00000000">
      <w:pPr>
        <w:spacing w:after="240"/>
        <w:jc w:val="both"/>
      </w:pPr>
      <w:r>
        <w:t>To mitigate demographic and hardware bias, we introduce a Patient-Invariant Supervised Contrastive Loss. For each batch, we project the shared feature space and calculate a cosine similarity matrix. Using patient IDs, we apply a supervised InfoNCE loss that pulls cycles from the same patient closer together while pushing different patients apart. This forces the network to ignore patient-specific signatures (e.g. unique chest wall resonances, mic placement) and extract purely pathological attributes.</w:t>
      </w:r>
    </w:p>
    <w:p w14:paraId="3393DAEE" w14:textId="77777777" w:rsidR="00332DE1" w:rsidRDefault="00000000">
      <w:pPr>
        <w:spacing w:before="240" w:after="80"/>
      </w:pPr>
      <w:r>
        <w:rPr>
          <w:b/>
        </w:rPr>
        <w:t>2.5. Learnable Homoscedastic Uncertainty Balancing</w:t>
      </w:r>
    </w:p>
    <w:p w14:paraId="4A42AD29" w14:textId="77777777" w:rsidR="00332DE1" w:rsidRDefault="00000000">
      <w:pPr>
        <w:spacing w:after="240"/>
        <w:jc w:val="both"/>
      </w:pPr>
      <w:r>
        <w:t xml:space="preserve">During multi-task learning, the cycle loss, pathology loss, and contrastive loss have different scales, which can lead to competitive gradients. We implement a learnable loss weighting layer based on homoscedastic uncertainty (Kendall et al.). The model learns log-variance parameters (s_cycle, </w:t>
      </w:r>
      <w:r>
        <w:lastRenderedPageBreak/>
        <w:t xml:space="preserve">s_pathology, s_contrast) that scale the active losses dynamically during backpropagation: </w:t>
      </w:r>
      <w:r>
        <w:br/>
        <w:t>L = exp(-s_cycle) L_cycle + exp(-s_pathology) L_pathology + exp(-s_contrast) L_contrast + 0.5 * (s_cycle + s_pathology + s_contrast).</w:t>
      </w:r>
    </w:p>
    <w:p w14:paraId="7AF9C96B" w14:textId="77777777" w:rsidR="00332DE1" w:rsidRDefault="00000000">
      <w:pPr>
        <w:spacing w:before="360" w:after="120"/>
      </w:pPr>
      <w:r>
        <w:rPr>
          <w:b/>
          <w:color w:val="1B365D"/>
          <w:sz w:val="26"/>
        </w:rPr>
        <w:t>3. Experimental Results</w:t>
      </w:r>
    </w:p>
    <w:p w14:paraId="5BB111AB" w14:textId="77777777" w:rsidR="00332DE1" w:rsidRDefault="00000000">
      <w:pPr>
        <w:spacing w:after="240"/>
        <w:jc w:val="both"/>
      </w:pPr>
      <w:r>
        <w:t>We evaluate the model on the ICBHI 2017 Respiratory Sound Database under strict patient-wise partitioning. During training, we apply mixup augmentation and class-weighted Focal Loss. We first contrast the baseline configurations and the validation score curves in Figures 2 and 3.</w:t>
      </w:r>
    </w:p>
    <w:p w14:paraId="32FFBA71" w14:textId="77777777" w:rsidR="00332DE1" w:rsidRDefault="00000000">
      <w:pPr>
        <w:spacing w:before="120" w:after="40"/>
        <w:jc w:val="center"/>
      </w:pPr>
      <w:r>
        <w:rPr>
          <w:noProof/>
        </w:rPr>
        <w:drawing>
          <wp:inline distT="0" distB="0" distL="0" distR="0" wp14:anchorId="379B7B3A" wp14:editId="62D3399C">
            <wp:extent cx="4114800" cy="24688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idation_score_comparison.png"/>
                    <pic:cNvPicPr/>
                  </pic:nvPicPr>
                  <pic:blipFill>
                    <a:blip r:embed="rId7"/>
                    <a:stretch>
                      <a:fillRect/>
                    </a:stretch>
                  </pic:blipFill>
                  <pic:spPr>
                    <a:xfrm>
                      <a:off x="0" y="0"/>
                      <a:ext cx="4114800" cy="2468880"/>
                    </a:xfrm>
                    <a:prstGeom prst="rect">
                      <a:avLst/>
                    </a:prstGeom>
                  </pic:spPr>
                </pic:pic>
              </a:graphicData>
            </a:graphic>
          </wp:inline>
        </w:drawing>
      </w:r>
    </w:p>
    <w:p w14:paraId="17A05B6B" w14:textId="77777777" w:rsidR="00332DE1" w:rsidRDefault="00000000">
      <w:pPr>
        <w:spacing w:before="40" w:after="240"/>
        <w:jc w:val="center"/>
      </w:pPr>
      <w:r>
        <w:rPr>
          <w:i/>
          <w:sz w:val="18"/>
        </w:rPr>
        <w:t>Figure 2: Validation ICBHI score comparison curves across feature configurations A (Mel), B (Mel+CQT), C (Mel+CWT), and D (Stacked).</w:t>
      </w:r>
    </w:p>
    <w:p w14:paraId="7DDFCD97" w14:textId="77777777" w:rsidR="00332DE1" w:rsidRDefault="00000000">
      <w:pPr>
        <w:spacing w:before="120" w:after="40"/>
        <w:jc w:val="center"/>
      </w:pPr>
      <w:r>
        <w:rPr>
          <w:noProof/>
        </w:rPr>
        <w:lastRenderedPageBreak/>
        <w:drawing>
          <wp:inline distT="0" distB="0" distL="0" distR="0" wp14:anchorId="5C55F1D5" wp14:editId="682B6240">
            <wp:extent cx="3840480" cy="3840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hybrid.png"/>
                    <pic:cNvPicPr/>
                  </pic:nvPicPr>
                  <pic:blipFill>
                    <a:blip r:embed="rId8"/>
                    <a:stretch>
                      <a:fillRect/>
                    </a:stretch>
                  </pic:blipFill>
                  <pic:spPr>
                    <a:xfrm>
                      <a:off x="0" y="0"/>
                      <a:ext cx="3840480" cy="3840480"/>
                    </a:xfrm>
                    <a:prstGeom prst="rect">
                      <a:avLst/>
                    </a:prstGeom>
                  </pic:spPr>
                </pic:pic>
              </a:graphicData>
            </a:graphic>
          </wp:inline>
        </w:drawing>
      </w:r>
    </w:p>
    <w:p w14:paraId="0DDF2321" w14:textId="77777777" w:rsidR="00332DE1" w:rsidRDefault="00000000">
      <w:pPr>
        <w:spacing w:before="40" w:after="240"/>
        <w:jc w:val="center"/>
      </w:pPr>
      <w:r>
        <w:rPr>
          <w:i/>
          <w:sz w:val="18"/>
        </w:rPr>
        <w:t>Figure 3: Cycle classification confusion matrix for the baseline CNN-LSTM network.</w:t>
      </w:r>
    </w:p>
    <w:p w14:paraId="44535379" w14:textId="77777777" w:rsidR="00332DE1" w:rsidRDefault="00000000">
      <w:pPr>
        <w:spacing w:after="240"/>
        <w:jc w:val="both"/>
      </w:pPr>
      <w:r>
        <w:t>Under the SOTA publication pipeline, we train our models incorporating Cross-Attention, Conformer, Contrastive Loss, and learnable Homoscedastic loss weighting. The multitask convergence curves are displayed in Figure 4.</w:t>
      </w:r>
    </w:p>
    <w:p w14:paraId="4BB6226C" w14:textId="77777777" w:rsidR="00332DE1" w:rsidRDefault="00000000">
      <w:pPr>
        <w:spacing w:before="120" w:after="40"/>
        <w:jc w:val="center"/>
      </w:pPr>
      <w:r>
        <w:rPr>
          <w:noProof/>
        </w:rPr>
        <w:drawing>
          <wp:inline distT="0" distB="0" distL="0" distR="0" wp14:anchorId="63652457" wp14:editId="3A2FF772">
            <wp:extent cx="4114800" cy="1714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ybrid_config_D_resnet_sota_crossattn_seqlen32_contrast0.1_dynloss_multitask_curves.png"/>
                    <pic:cNvPicPr/>
                  </pic:nvPicPr>
                  <pic:blipFill>
                    <a:blip r:embed="rId9"/>
                    <a:stretch>
                      <a:fillRect/>
                    </a:stretch>
                  </pic:blipFill>
                  <pic:spPr>
                    <a:xfrm>
                      <a:off x="0" y="0"/>
                      <a:ext cx="4114800" cy="1714500"/>
                    </a:xfrm>
                    <a:prstGeom prst="rect">
                      <a:avLst/>
                    </a:prstGeom>
                  </pic:spPr>
                </pic:pic>
              </a:graphicData>
            </a:graphic>
          </wp:inline>
        </w:drawing>
      </w:r>
    </w:p>
    <w:p w14:paraId="25535E6E" w14:textId="77777777" w:rsidR="00332DE1" w:rsidRDefault="00000000">
      <w:pPr>
        <w:spacing w:before="40" w:after="240"/>
        <w:jc w:val="center"/>
      </w:pPr>
      <w:r>
        <w:rPr>
          <w:i/>
          <w:sz w:val="18"/>
        </w:rPr>
        <w:t>Figure 4: Spatio-temporal Multi-Task learning convergence curves (loss and score metrics) under Dynamic Loss Weighting.</w:t>
      </w:r>
    </w:p>
    <w:p w14:paraId="63447ACF" w14:textId="77777777" w:rsidR="00D553A7" w:rsidRDefault="00D553A7">
      <w:pPr>
        <w:spacing w:before="240" w:after="120"/>
        <w:rPr>
          <w:b/>
        </w:rPr>
      </w:pPr>
    </w:p>
    <w:p w14:paraId="01F0FE2E" w14:textId="77777777" w:rsidR="00D553A7" w:rsidRDefault="00D553A7">
      <w:pPr>
        <w:spacing w:before="240" w:after="120"/>
        <w:rPr>
          <w:b/>
        </w:rPr>
      </w:pPr>
    </w:p>
    <w:p w14:paraId="4CD05100" w14:textId="77777777" w:rsidR="00D553A7" w:rsidRDefault="00D553A7">
      <w:pPr>
        <w:spacing w:before="240" w:after="120"/>
        <w:rPr>
          <w:b/>
        </w:rPr>
      </w:pPr>
    </w:p>
    <w:p w14:paraId="62396E77" w14:textId="77777777" w:rsidR="00D553A7" w:rsidRDefault="00D553A7">
      <w:pPr>
        <w:spacing w:before="240" w:after="120"/>
        <w:rPr>
          <w:b/>
        </w:rPr>
      </w:pPr>
    </w:p>
    <w:p w14:paraId="0A5A6999" w14:textId="6EC04C3B" w:rsidR="00332DE1" w:rsidRDefault="00000000">
      <w:pPr>
        <w:spacing w:before="240" w:after="120"/>
      </w:pPr>
      <w:r>
        <w:rPr>
          <w:b/>
        </w:rPr>
        <w:lastRenderedPageBreak/>
        <w:t>Quantitative Metrics Comparison</w:t>
      </w:r>
    </w:p>
    <w:tbl>
      <w:tblPr>
        <w:tblStyle w:val="LightShading-Accent1"/>
        <w:tblW w:w="0" w:type="auto"/>
        <w:tblLook w:val="04A0" w:firstRow="1" w:lastRow="0" w:firstColumn="1" w:lastColumn="0" w:noHBand="0" w:noVBand="1"/>
      </w:tblPr>
      <w:tblGrid>
        <w:gridCol w:w="1337"/>
        <w:gridCol w:w="1337"/>
        <w:gridCol w:w="1337"/>
        <w:gridCol w:w="1337"/>
        <w:gridCol w:w="1337"/>
        <w:gridCol w:w="1337"/>
        <w:gridCol w:w="1337"/>
      </w:tblGrid>
      <w:tr w:rsidR="00332DE1" w14:paraId="0D1F4F00" w14:textId="77777777" w:rsidTr="00D553A7">
        <w:trPr>
          <w:cnfStyle w:val="100000000000" w:firstRow="1" w:lastRow="0" w:firstColumn="0" w:lastColumn="0" w:oddVBand="0" w:evenVBand="0" w:oddHBand="0" w:evenHBand="0" w:firstRowFirstColumn="0" w:firstRowLastColumn="0" w:lastRowFirstColumn="0" w:lastRowLastColumn="0"/>
          <w:trHeight w:val="813"/>
        </w:trPr>
        <w:tc>
          <w:tcPr>
            <w:cnfStyle w:val="001000000000" w:firstRow="0" w:lastRow="0" w:firstColumn="1" w:lastColumn="0" w:oddVBand="0" w:evenVBand="0" w:oddHBand="0" w:evenHBand="0" w:firstRowFirstColumn="0" w:firstRowLastColumn="0" w:lastRowFirstColumn="0" w:lastRowLastColumn="0"/>
            <w:tcW w:w="1337" w:type="dxa"/>
            <w:shd w:val="clear" w:color="auto" w:fill="1B365D"/>
          </w:tcPr>
          <w:p w14:paraId="4991B892" w14:textId="77777777" w:rsidR="00332DE1" w:rsidRDefault="00000000">
            <w:r>
              <w:rPr>
                <w:color w:val="FFFFFF"/>
                <w:sz w:val="19"/>
              </w:rPr>
              <w:t>Model / Feature Config</w:t>
            </w:r>
          </w:p>
        </w:tc>
        <w:tc>
          <w:tcPr>
            <w:tcW w:w="1337" w:type="dxa"/>
            <w:shd w:val="clear" w:color="auto" w:fill="1B365D"/>
          </w:tcPr>
          <w:p w14:paraId="76629666" w14:textId="77777777" w:rsidR="00332DE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Task</w:t>
            </w:r>
          </w:p>
        </w:tc>
        <w:tc>
          <w:tcPr>
            <w:tcW w:w="1337" w:type="dxa"/>
            <w:shd w:val="clear" w:color="auto" w:fill="1B365D"/>
          </w:tcPr>
          <w:p w14:paraId="3F30AD55" w14:textId="77777777" w:rsidR="00332DE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Accuracy</w:t>
            </w:r>
          </w:p>
        </w:tc>
        <w:tc>
          <w:tcPr>
            <w:tcW w:w="1337" w:type="dxa"/>
            <w:shd w:val="clear" w:color="auto" w:fill="1B365D"/>
          </w:tcPr>
          <w:p w14:paraId="49766D78" w14:textId="77777777" w:rsidR="00332DE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Sensitivity (Se)</w:t>
            </w:r>
          </w:p>
        </w:tc>
        <w:tc>
          <w:tcPr>
            <w:tcW w:w="1337" w:type="dxa"/>
            <w:shd w:val="clear" w:color="auto" w:fill="1B365D"/>
          </w:tcPr>
          <w:p w14:paraId="5F527B65" w14:textId="77777777" w:rsidR="00332DE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Specificity (Sp)</w:t>
            </w:r>
          </w:p>
        </w:tc>
        <w:tc>
          <w:tcPr>
            <w:tcW w:w="1337" w:type="dxa"/>
            <w:shd w:val="clear" w:color="auto" w:fill="1B365D"/>
          </w:tcPr>
          <w:p w14:paraId="7A54B39F" w14:textId="77777777" w:rsidR="00332DE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ICBHI Score (S)</w:t>
            </w:r>
          </w:p>
        </w:tc>
        <w:tc>
          <w:tcPr>
            <w:tcW w:w="1337" w:type="dxa"/>
            <w:shd w:val="clear" w:color="auto" w:fill="1B365D"/>
          </w:tcPr>
          <w:p w14:paraId="1E7BC41D" w14:textId="77777777" w:rsidR="00332DE1" w:rsidRDefault="00000000">
            <w:pPr>
              <w:cnfStyle w:val="100000000000" w:firstRow="1" w:lastRow="0" w:firstColumn="0" w:lastColumn="0" w:oddVBand="0" w:evenVBand="0" w:oddHBand="0" w:evenHBand="0" w:firstRowFirstColumn="0" w:firstRowLastColumn="0" w:lastRowFirstColumn="0" w:lastRowLastColumn="0"/>
            </w:pPr>
            <w:r>
              <w:rPr>
                <w:color w:val="FFFFFF"/>
                <w:sz w:val="19"/>
              </w:rPr>
              <w:t>Pathology Acc.</w:t>
            </w:r>
          </w:p>
        </w:tc>
      </w:tr>
      <w:tr w:rsidR="00332DE1" w14:paraId="369F6615" w14:textId="77777777" w:rsidTr="00D553A7">
        <w:trPr>
          <w:cnfStyle w:val="000000100000" w:firstRow="0" w:lastRow="0" w:firstColumn="0" w:lastColumn="0" w:oddVBand="0" w:evenVBand="0" w:oddHBand="1" w:evenHBand="0" w:firstRowFirstColumn="0" w:firstRowLastColumn="0" w:lastRowFirstColumn="0" w:lastRowLastColumn="0"/>
          <w:trHeight w:val="792"/>
        </w:trPr>
        <w:tc>
          <w:tcPr>
            <w:cnfStyle w:val="001000000000" w:firstRow="0" w:lastRow="0" w:firstColumn="1" w:lastColumn="0" w:oddVBand="0" w:evenVBand="0" w:oddHBand="0" w:evenHBand="0" w:firstRowFirstColumn="0" w:firstRowLastColumn="0" w:lastRowFirstColumn="0" w:lastRowLastColumn="0"/>
            <w:tcW w:w="1337" w:type="dxa"/>
          </w:tcPr>
          <w:p w14:paraId="05266AE7" w14:textId="77777777" w:rsidR="00332DE1" w:rsidRDefault="00000000">
            <w:r>
              <w:rPr>
                <w:sz w:val="18"/>
              </w:rPr>
              <w:t>Baseline ResNet-18 (Stacked)</w:t>
            </w:r>
          </w:p>
        </w:tc>
        <w:tc>
          <w:tcPr>
            <w:tcW w:w="1337" w:type="dxa"/>
          </w:tcPr>
          <w:p w14:paraId="2DDFC05D" w14:textId="77777777" w:rsidR="00332DE1" w:rsidRDefault="00000000">
            <w:pPr>
              <w:cnfStyle w:val="000000100000" w:firstRow="0" w:lastRow="0" w:firstColumn="0" w:lastColumn="0" w:oddVBand="0" w:evenVBand="0" w:oddHBand="1" w:evenHBand="0" w:firstRowFirstColumn="0" w:firstRowLastColumn="0" w:lastRowFirstColumn="0" w:lastRowLastColumn="0"/>
            </w:pPr>
            <w:r>
              <w:rPr>
                <w:sz w:val="18"/>
              </w:rPr>
              <w:t>Single-Task</w:t>
            </w:r>
          </w:p>
        </w:tc>
        <w:tc>
          <w:tcPr>
            <w:tcW w:w="1337" w:type="dxa"/>
          </w:tcPr>
          <w:p w14:paraId="7BE37C35" w14:textId="77777777" w:rsidR="00332DE1" w:rsidRDefault="00000000">
            <w:pPr>
              <w:cnfStyle w:val="000000100000" w:firstRow="0" w:lastRow="0" w:firstColumn="0" w:lastColumn="0" w:oddVBand="0" w:evenVBand="0" w:oddHBand="1" w:evenHBand="0" w:firstRowFirstColumn="0" w:firstRowLastColumn="0" w:lastRowFirstColumn="0" w:lastRowLastColumn="0"/>
            </w:pPr>
            <w:r>
              <w:rPr>
                <w:sz w:val="18"/>
              </w:rPr>
              <w:t>54.03%</w:t>
            </w:r>
          </w:p>
        </w:tc>
        <w:tc>
          <w:tcPr>
            <w:tcW w:w="1337" w:type="dxa"/>
          </w:tcPr>
          <w:p w14:paraId="612107F2" w14:textId="77777777" w:rsidR="00332DE1" w:rsidRDefault="00000000">
            <w:pPr>
              <w:cnfStyle w:val="000000100000" w:firstRow="0" w:lastRow="0" w:firstColumn="0" w:lastColumn="0" w:oddVBand="0" w:evenVBand="0" w:oddHBand="1" w:evenHBand="0" w:firstRowFirstColumn="0" w:firstRowLastColumn="0" w:lastRowFirstColumn="0" w:lastRowLastColumn="0"/>
            </w:pPr>
            <w:r>
              <w:rPr>
                <w:sz w:val="18"/>
              </w:rPr>
              <w:t>18.03%</w:t>
            </w:r>
          </w:p>
        </w:tc>
        <w:tc>
          <w:tcPr>
            <w:tcW w:w="1337" w:type="dxa"/>
          </w:tcPr>
          <w:p w14:paraId="4B3AB125" w14:textId="77777777" w:rsidR="00332DE1" w:rsidRDefault="00000000">
            <w:pPr>
              <w:cnfStyle w:val="000000100000" w:firstRow="0" w:lastRow="0" w:firstColumn="0" w:lastColumn="0" w:oddVBand="0" w:evenVBand="0" w:oddHBand="1" w:evenHBand="0" w:firstRowFirstColumn="0" w:firstRowLastColumn="0" w:lastRowFirstColumn="0" w:lastRowLastColumn="0"/>
            </w:pPr>
            <w:r>
              <w:rPr>
                <w:sz w:val="18"/>
              </w:rPr>
              <w:t>79.61%</w:t>
            </w:r>
          </w:p>
        </w:tc>
        <w:tc>
          <w:tcPr>
            <w:tcW w:w="1337" w:type="dxa"/>
          </w:tcPr>
          <w:p w14:paraId="25AAB74D" w14:textId="77777777" w:rsidR="00332DE1" w:rsidRDefault="00000000">
            <w:pPr>
              <w:cnfStyle w:val="000000100000" w:firstRow="0" w:lastRow="0" w:firstColumn="0" w:lastColumn="0" w:oddVBand="0" w:evenVBand="0" w:oddHBand="1" w:evenHBand="0" w:firstRowFirstColumn="0" w:firstRowLastColumn="0" w:lastRowFirstColumn="0" w:lastRowLastColumn="0"/>
            </w:pPr>
            <w:r>
              <w:rPr>
                <w:sz w:val="18"/>
              </w:rPr>
              <w:t>48.82%</w:t>
            </w:r>
          </w:p>
        </w:tc>
        <w:tc>
          <w:tcPr>
            <w:tcW w:w="1337" w:type="dxa"/>
          </w:tcPr>
          <w:p w14:paraId="2146DD2A" w14:textId="77777777" w:rsidR="00332DE1"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332DE1" w14:paraId="75FE3559" w14:textId="77777777" w:rsidTr="00D553A7">
        <w:trPr>
          <w:trHeight w:val="772"/>
        </w:trPr>
        <w:tc>
          <w:tcPr>
            <w:cnfStyle w:val="001000000000" w:firstRow="0" w:lastRow="0" w:firstColumn="1" w:lastColumn="0" w:oddVBand="0" w:evenVBand="0" w:oddHBand="0" w:evenHBand="0" w:firstRowFirstColumn="0" w:firstRowLastColumn="0" w:lastRowFirstColumn="0" w:lastRowLastColumn="0"/>
            <w:tcW w:w="1337" w:type="dxa"/>
          </w:tcPr>
          <w:p w14:paraId="1C1BF498" w14:textId="77777777" w:rsidR="00332DE1" w:rsidRDefault="00000000">
            <w:r>
              <w:rPr>
                <w:sz w:val="18"/>
              </w:rPr>
              <w:t>Baseline CNN-LSTM (Stacked)</w:t>
            </w:r>
          </w:p>
        </w:tc>
        <w:tc>
          <w:tcPr>
            <w:tcW w:w="1337" w:type="dxa"/>
          </w:tcPr>
          <w:p w14:paraId="77833133" w14:textId="77777777" w:rsidR="00332DE1" w:rsidRDefault="00000000">
            <w:pPr>
              <w:cnfStyle w:val="000000000000" w:firstRow="0" w:lastRow="0" w:firstColumn="0" w:lastColumn="0" w:oddVBand="0" w:evenVBand="0" w:oddHBand="0" w:evenHBand="0" w:firstRowFirstColumn="0" w:firstRowLastColumn="0" w:lastRowFirstColumn="0" w:lastRowLastColumn="0"/>
            </w:pPr>
            <w:r>
              <w:rPr>
                <w:sz w:val="18"/>
              </w:rPr>
              <w:t>Single-Task</w:t>
            </w:r>
          </w:p>
        </w:tc>
        <w:tc>
          <w:tcPr>
            <w:tcW w:w="1337" w:type="dxa"/>
          </w:tcPr>
          <w:p w14:paraId="7F036464" w14:textId="77777777" w:rsidR="00332DE1" w:rsidRDefault="00000000">
            <w:pPr>
              <w:cnfStyle w:val="000000000000" w:firstRow="0" w:lastRow="0" w:firstColumn="0" w:lastColumn="0" w:oddVBand="0" w:evenVBand="0" w:oddHBand="0" w:evenHBand="0" w:firstRowFirstColumn="0" w:firstRowLastColumn="0" w:lastRowFirstColumn="0" w:lastRowLastColumn="0"/>
            </w:pPr>
            <w:r>
              <w:rPr>
                <w:sz w:val="18"/>
              </w:rPr>
              <w:t>53.08%</w:t>
            </w:r>
          </w:p>
        </w:tc>
        <w:tc>
          <w:tcPr>
            <w:tcW w:w="1337" w:type="dxa"/>
          </w:tcPr>
          <w:p w14:paraId="402F3BB3" w14:textId="77777777" w:rsidR="00332DE1" w:rsidRDefault="00000000">
            <w:pPr>
              <w:cnfStyle w:val="000000000000" w:firstRow="0" w:lastRow="0" w:firstColumn="0" w:lastColumn="0" w:oddVBand="0" w:evenVBand="0" w:oddHBand="0" w:evenHBand="0" w:firstRowFirstColumn="0" w:firstRowLastColumn="0" w:lastRowFirstColumn="0" w:lastRowLastColumn="0"/>
            </w:pPr>
            <w:r>
              <w:rPr>
                <w:sz w:val="18"/>
              </w:rPr>
              <w:t>29.32%</w:t>
            </w:r>
          </w:p>
        </w:tc>
        <w:tc>
          <w:tcPr>
            <w:tcW w:w="1337" w:type="dxa"/>
          </w:tcPr>
          <w:p w14:paraId="6F12271A" w14:textId="77777777" w:rsidR="00332DE1" w:rsidRDefault="00000000">
            <w:pPr>
              <w:cnfStyle w:val="000000000000" w:firstRow="0" w:lastRow="0" w:firstColumn="0" w:lastColumn="0" w:oddVBand="0" w:evenVBand="0" w:oddHBand="0" w:evenHBand="0" w:firstRowFirstColumn="0" w:firstRowLastColumn="0" w:lastRowFirstColumn="0" w:lastRowLastColumn="0"/>
            </w:pPr>
            <w:r>
              <w:rPr>
                <w:sz w:val="18"/>
              </w:rPr>
              <w:t>68.21%</w:t>
            </w:r>
          </w:p>
        </w:tc>
        <w:tc>
          <w:tcPr>
            <w:tcW w:w="1337" w:type="dxa"/>
          </w:tcPr>
          <w:p w14:paraId="267311EC" w14:textId="77777777" w:rsidR="00332DE1" w:rsidRDefault="00000000">
            <w:pPr>
              <w:cnfStyle w:val="000000000000" w:firstRow="0" w:lastRow="0" w:firstColumn="0" w:lastColumn="0" w:oddVBand="0" w:evenVBand="0" w:oddHBand="0" w:evenHBand="0" w:firstRowFirstColumn="0" w:firstRowLastColumn="0" w:lastRowFirstColumn="0" w:lastRowLastColumn="0"/>
            </w:pPr>
            <w:r>
              <w:rPr>
                <w:sz w:val="18"/>
              </w:rPr>
              <w:t>48.76%</w:t>
            </w:r>
          </w:p>
        </w:tc>
        <w:tc>
          <w:tcPr>
            <w:tcW w:w="1337" w:type="dxa"/>
          </w:tcPr>
          <w:p w14:paraId="27835FC8" w14:textId="77777777" w:rsidR="00332DE1" w:rsidRDefault="00000000">
            <w:pPr>
              <w:cnfStyle w:val="000000000000" w:firstRow="0" w:lastRow="0" w:firstColumn="0" w:lastColumn="0" w:oddVBand="0" w:evenVBand="0" w:oddHBand="0" w:evenHBand="0" w:firstRowFirstColumn="0" w:firstRowLastColumn="0" w:lastRowFirstColumn="0" w:lastRowLastColumn="0"/>
            </w:pPr>
            <w:r>
              <w:rPr>
                <w:sz w:val="18"/>
              </w:rPr>
              <w:t>—</w:t>
            </w:r>
          </w:p>
        </w:tc>
      </w:tr>
      <w:tr w:rsidR="00332DE1" w14:paraId="59400DD5" w14:textId="77777777" w:rsidTr="00D553A7">
        <w:trPr>
          <w:cnfStyle w:val="000000100000" w:firstRow="0" w:lastRow="0" w:firstColumn="0" w:lastColumn="0" w:oddVBand="0" w:evenVBand="0" w:oddHBand="1" w:evenHBand="0" w:firstRowFirstColumn="0" w:firstRowLastColumn="0" w:lastRowFirstColumn="0" w:lastRowLastColumn="0"/>
          <w:trHeight w:val="772"/>
        </w:trPr>
        <w:tc>
          <w:tcPr>
            <w:cnfStyle w:val="001000000000" w:firstRow="0" w:lastRow="0" w:firstColumn="1" w:lastColumn="0" w:oddVBand="0" w:evenVBand="0" w:oddHBand="0" w:evenHBand="0" w:firstRowFirstColumn="0" w:firstRowLastColumn="0" w:lastRowFirstColumn="0" w:lastRowLastColumn="0"/>
            <w:tcW w:w="1337" w:type="dxa"/>
          </w:tcPr>
          <w:p w14:paraId="3451924A" w14:textId="77777777" w:rsidR="00332DE1" w:rsidRDefault="00000000">
            <w:r>
              <w:rPr>
                <w:sz w:val="18"/>
              </w:rPr>
              <w:t>Baseline ResNet-18 (Multi-Task)</w:t>
            </w:r>
          </w:p>
        </w:tc>
        <w:tc>
          <w:tcPr>
            <w:tcW w:w="1337" w:type="dxa"/>
          </w:tcPr>
          <w:p w14:paraId="3865FD92" w14:textId="77777777" w:rsidR="00332DE1" w:rsidRDefault="00000000">
            <w:pPr>
              <w:cnfStyle w:val="000000100000" w:firstRow="0" w:lastRow="0" w:firstColumn="0" w:lastColumn="0" w:oddVBand="0" w:evenVBand="0" w:oddHBand="1" w:evenHBand="0" w:firstRowFirstColumn="0" w:firstRowLastColumn="0" w:lastRowFirstColumn="0" w:lastRowLastColumn="0"/>
            </w:pPr>
            <w:r>
              <w:rPr>
                <w:sz w:val="18"/>
              </w:rPr>
              <w:t>Multi-Task</w:t>
            </w:r>
          </w:p>
        </w:tc>
        <w:tc>
          <w:tcPr>
            <w:tcW w:w="1337" w:type="dxa"/>
          </w:tcPr>
          <w:p w14:paraId="3BBD97F7" w14:textId="77777777" w:rsidR="00332DE1" w:rsidRDefault="00000000">
            <w:pPr>
              <w:cnfStyle w:val="000000100000" w:firstRow="0" w:lastRow="0" w:firstColumn="0" w:lastColumn="0" w:oddVBand="0" w:evenVBand="0" w:oddHBand="1" w:evenHBand="0" w:firstRowFirstColumn="0" w:firstRowLastColumn="0" w:lastRowFirstColumn="0" w:lastRowLastColumn="0"/>
            </w:pPr>
            <w:r>
              <w:rPr>
                <w:sz w:val="18"/>
              </w:rPr>
              <w:t>50.56%</w:t>
            </w:r>
          </w:p>
        </w:tc>
        <w:tc>
          <w:tcPr>
            <w:tcW w:w="1337" w:type="dxa"/>
          </w:tcPr>
          <w:p w14:paraId="737BB4F8" w14:textId="77777777" w:rsidR="00332DE1" w:rsidRDefault="00000000">
            <w:pPr>
              <w:cnfStyle w:val="000000100000" w:firstRow="0" w:lastRow="0" w:firstColumn="0" w:lastColumn="0" w:oddVBand="0" w:evenVBand="0" w:oddHBand="1" w:evenHBand="0" w:firstRowFirstColumn="0" w:firstRowLastColumn="0" w:lastRowFirstColumn="0" w:lastRowLastColumn="0"/>
            </w:pPr>
            <w:r>
              <w:rPr>
                <w:sz w:val="18"/>
              </w:rPr>
              <w:t>33.08%</w:t>
            </w:r>
          </w:p>
        </w:tc>
        <w:tc>
          <w:tcPr>
            <w:tcW w:w="1337" w:type="dxa"/>
          </w:tcPr>
          <w:p w14:paraId="6BDA90EB" w14:textId="77777777" w:rsidR="00332DE1" w:rsidRDefault="00000000">
            <w:pPr>
              <w:cnfStyle w:val="000000100000" w:firstRow="0" w:lastRow="0" w:firstColumn="0" w:lastColumn="0" w:oddVBand="0" w:evenVBand="0" w:oddHBand="1" w:evenHBand="0" w:firstRowFirstColumn="0" w:firstRowLastColumn="0" w:lastRowFirstColumn="0" w:lastRowLastColumn="0"/>
            </w:pPr>
            <w:r>
              <w:rPr>
                <w:sz w:val="18"/>
              </w:rPr>
              <w:t>59.37%</w:t>
            </w:r>
          </w:p>
        </w:tc>
        <w:tc>
          <w:tcPr>
            <w:tcW w:w="1337" w:type="dxa"/>
          </w:tcPr>
          <w:p w14:paraId="3AF666E8" w14:textId="77777777" w:rsidR="00332DE1" w:rsidRDefault="00000000">
            <w:pPr>
              <w:cnfStyle w:val="000000100000" w:firstRow="0" w:lastRow="0" w:firstColumn="0" w:lastColumn="0" w:oddVBand="0" w:evenVBand="0" w:oddHBand="1" w:evenHBand="0" w:firstRowFirstColumn="0" w:firstRowLastColumn="0" w:lastRowFirstColumn="0" w:lastRowLastColumn="0"/>
            </w:pPr>
            <w:r>
              <w:rPr>
                <w:sz w:val="18"/>
              </w:rPr>
              <w:t>46.23%</w:t>
            </w:r>
          </w:p>
        </w:tc>
        <w:tc>
          <w:tcPr>
            <w:tcW w:w="1337" w:type="dxa"/>
          </w:tcPr>
          <w:p w14:paraId="19D69C8A" w14:textId="77777777" w:rsidR="00332DE1" w:rsidRDefault="00000000">
            <w:pPr>
              <w:cnfStyle w:val="000000100000" w:firstRow="0" w:lastRow="0" w:firstColumn="0" w:lastColumn="0" w:oddVBand="0" w:evenVBand="0" w:oddHBand="1" w:evenHBand="0" w:firstRowFirstColumn="0" w:firstRowLastColumn="0" w:lastRowFirstColumn="0" w:lastRowLastColumn="0"/>
            </w:pPr>
            <w:r>
              <w:rPr>
                <w:sz w:val="18"/>
              </w:rPr>
              <w:t>92.36%</w:t>
            </w:r>
          </w:p>
        </w:tc>
      </w:tr>
      <w:tr w:rsidR="00332DE1" w14:paraId="71680ED1" w14:textId="77777777" w:rsidTr="00D553A7">
        <w:trPr>
          <w:trHeight w:val="1022"/>
        </w:trPr>
        <w:tc>
          <w:tcPr>
            <w:cnfStyle w:val="001000000000" w:firstRow="0" w:lastRow="0" w:firstColumn="1" w:lastColumn="0" w:oddVBand="0" w:evenVBand="0" w:oddHBand="0" w:evenHBand="0" w:firstRowFirstColumn="0" w:firstRowLastColumn="0" w:lastRowFirstColumn="0" w:lastRowLastColumn="0"/>
            <w:tcW w:w="1337" w:type="dxa"/>
          </w:tcPr>
          <w:p w14:paraId="095F8AF6" w14:textId="77777777" w:rsidR="00332DE1" w:rsidRDefault="00000000">
            <w:r>
              <w:rPr>
                <w:sz w:val="18"/>
              </w:rPr>
              <w:t>Proposed: Cross-Attention + Conformer</w:t>
            </w:r>
          </w:p>
        </w:tc>
        <w:tc>
          <w:tcPr>
            <w:tcW w:w="1337" w:type="dxa"/>
          </w:tcPr>
          <w:p w14:paraId="3162A608" w14:textId="77777777" w:rsidR="00332DE1" w:rsidRDefault="00000000">
            <w:pPr>
              <w:cnfStyle w:val="000000000000" w:firstRow="0" w:lastRow="0" w:firstColumn="0" w:lastColumn="0" w:oddVBand="0" w:evenVBand="0" w:oddHBand="0" w:evenHBand="0" w:firstRowFirstColumn="0" w:firstRowLastColumn="0" w:lastRowFirstColumn="0" w:lastRowLastColumn="0"/>
            </w:pPr>
            <w:r>
              <w:rPr>
                <w:sz w:val="18"/>
              </w:rPr>
              <w:t>Single-Task</w:t>
            </w:r>
          </w:p>
        </w:tc>
        <w:tc>
          <w:tcPr>
            <w:tcW w:w="1337" w:type="dxa"/>
          </w:tcPr>
          <w:p w14:paraId="30885042" w14:textId="77777777" w:rsidR="00332DE1" w:rsidRDefault="00000000">
            <w:pPr>
              <w:cnfStyle w:val="000000000000" w:firstRow="0" w:lastRow="0" w:firstColumn="0" w:lastColumn="0" w:oddVBand="0" w:evenVBand="0" w:oddHBand="0" w:evenHBand="0" w:firstRowFirstColumn="0" w:firstRowLastColumn="0" w:lastRowFirstColumn="0" w:lastRowLastColumn="0"/>
            </w:pPr>
            <w:r>
              <w:rPr>
                <w:sz w:val="18"/>
              </w:rPr>
              <w:t>45.14%</w:t>
            </w:r>
          </w:p>
        </w:tc>
        <w:tc>
          <w:tcPr>
            <w:tcW w:w="1337" w:type="dxa"/>
          </w:tcPr>
          <w:p w14:paraId="787BB529" w14:textId="77777777" w:rsidR="00332DE1" w:rsidRDefault="00000000">
            <w:pPr>
              <w:cnfStyle w:val="000000000000" w:firstRow="0" w:lastRow="0" w:firstColumn="0" w:lastColumn="0" w:oddVBand="0" w:evenVBand="0" w:oddHBand="0" w:evenHBand="0" w:firstRowFirstColumn="0" w:firstRowLastColumn="0" w:lastRowFirstColumn="0" w:lastRowLastColumn="0"/>
            </w:pPr>
            <w:r>
              <w:rPr>
                <w:sz w:val="18"/>
              </w:rPr>
              <w:t>38.29%</w:t>
            </w:r>
          </w:p>
        </w:tc>
        <w:tc>
          <w:tcPr>
            <w:tcW w:w="1337" w:type="dxa"/>
          </w:tcPr>
          <w:p w14:paraId="3CE1E725" w14:textId="77777777" w:rsidR="00332DE1" w:rsidRDefault="00000000">
            <w:pPr>
              <w:cnfStyle w:val="000000000000" w:firstRow="0" w:lastRow="0" w:firstColumn="0" w:lastColumn="0" w:oddVBand="0" w:evenVBand="0" w:oddHBand="0" w:evenHBand="0" w:firstRowFirstColumn="0" w:firstRowLastColumn="0" w:lastRowFirstColumn="0" w:lastRowLastColumn="0"/>
            </w:pPr>
            <w:r>
              <w:rPr>
                <w:sz w:val="18"/>
              </w:rPr>
              <w:t>47.37%</w:t>
            </w:r>
          </w:p>
        </w:tc>
        <w:tc>
          <w:tcPr>
            <w:tcW w:w="1337" w:type="dxa"/>
          </w:tcPr>
          <w:p w14:paraId="416D5D05" w14:textId="77777777" w:rsidR="00332DE1" w:rsidRDefault="00000000">
            <w:pPr>
              <w:cnfStyle w:val="000000000000" w:firstRow="0" w:lastRow="0" w:firstColumn="0" w:lastColumn="0" w:oddVBand="0" w:evenVBand="0" w:oddHBand="0" w:evenHBand="0" w:firstRowFirstColumn="0" w:firstRowLastColumn="0" w:lastRowFirstColumn="0" w:lastRowLastColumn="0"/>
            </w:pPr>
            <w:r>
              <w:rPr>
                <w:sz w:val="18"/>
              </w:rPr>
              <w:t>42.83%</w:t>
            </w:r>
          </w:p>
        </w:tc>
        <w:tc>
          <w:tcPr>
            <w:tcW w:w="1337" w:type="dxa"/>
          </w:tcPr>
          <w:p w14:paraId="1B9655D8" w14:textId="77777777" w:rsidR="00332DE1" w:rsidRDefault="00000000">
            <w:pPr>
              <w:cnfStyle w:val="000000000000" w:firstRow="0" w:lastRow="0" w:firstColumn="0" w:lastColumn="0" w:oddVBand="0" w:evenVBand="0" w:oddHBand="0" w:evenHBand="0" w:firstRowFirstColumn="0" w:firstRowLastColumn="0" w:lastRowFirstColumn="0" w:lastRowLastColumn="0"/>
            </w:pPr>
            <w:r>
              <w:rPr>
                <w:sz w:val="18"/>
              </w:rPr>
              <w:t>—</w:t>
            </w:r>
          </w:p>
        </w:tc>
      </w:tr>
      <w:tr w:rsidR="00332DE1" w14:paraId="16B30B98" w14:textId="77777777" w:rsidTr="00D553A7">
        <w:trPr>
          <w:cnfStyle w:val="000000100000" w:firstRow="0" w:lastRow="0" w:firstColumn="0" w:lastColumn="0" w:oddVBand="0" w:evenVBand="0" w:oddHBand="1" w:evenHBand="0" w:firstRowFirstColumn="0" w:firstRowLastColumn="0" w:lastRowFirstColumn="0" w:lastRowLastColumn="0"/>
          <w:trHeight w:val="1043"/>
        </w:trPr>
        <w:tc>
          <w:tcPr>
            <w:cnfStyle w:val="001000000000" w:firstRow="0" w:lastRow="0" w:firstColumn="1" w:lastColumn="0" w:oddVBand="0" w:evenVBand="0" w:oddHBand="0" w:evenHBand="0" w:firstRowFirstColumn="0" w:firstRowLastColumn="0" w:lastRowFirstColumn="0" w:lastRowLastColumn="0"/>
            <w:tcW w:w="1337" w:type="dxa"/>
          </w:tcPr>
          <w:p w14:paraId="400D4F7A" w14:textId="77777777" w:rsidR="00332DE1" w:rsidRDefault="00000000">
            <w:r>
              <w:rPr>
                <w:sz w:val="18"/>
              </w:rPr>
              <w:t>Proposed: Cross-Attention + BiLSTM</w:t>
            </w:r>
          </w:p>
        </w:tc>
        <w:tc>
          <w:tcPr>
            <w:tcW w:w="1337" w:type="dxa"/>
          </w:tcPr>
          <w:p w14:paraId="59AED65B" w14:textId="77777777" w:rsidR="00332DE1" w:rsidRDefault="00000000">
            <w:pPr>
              <w:cnfStyle w:val="000000100000" w:firstRow="0" w:lastRow="0" w:firstColumn="0" w:lastColumn="0" w:oddVBand="0" w:evenVBand="0" w:oddHBand="1" w:evenHBand="0" w:firstRowFirstColumn="0" w:firstRowLastColumn="0" w:lastRowFirstColumn="0" w:lastRowLastColumn="0"/>
            </w:pPr>
            <w:r>
              <w:rPr>
                <w:sz w:val="18"/>
              </w:rPr>
              <w:t>Single-Task</w:t>
            </w:r>
          </w:p>
        </w:tc>
        <w:tc>
          <w:tcPr>
            <w:tcW w:w="1337" w:type="dxa"/>
          </w:tcPr>
          <w:p w14:paraId="23625580" w14:textId="77777777" w:rsidR="00332DE1" w:rsidRDefault="00000000">
            <w:pPr>
              <w:cnfStyle w:val="000000100000" w:firstRow="0" w:lastRow="0" w:firstColumn="0" w:lastColumn="0" w:oddVBand="0" w:evenVBand="0" w:oddHBand="1" w:evenHBand="0" w:firstRowFirstColumn="0" w:firstRowLastColumn="0" w:lastRowFirstColumn="0" w:lastRowLastColumn="0"/>
            </w:pPr>
            <w:r>
              <w:rPr>
                <w:sz w:val="18"/>
              </w:rPr>
              <w:t>44.01%</w:t>
            </w:r>
          </w:p>
        </w:tc>
        <w:tc>
          <w:tcPr>
            <w:tcW w:w="1337" w:type="dxa"/>
          </w:tcPr>
          <w:p w14:paraId="0E76CD52" w14:textId="77777777" w:rsidR="00332DE1" w:rsidRDefault="00000000">
            <w:pPr>
              <w:cnfStyle w:val="000000100000" w:firstRow="0" w:lastRow="0" w:firstColumn="0" w:lastColumn="0" w:oddVBand="0" w:evenVBand="0" w:oddHBand="1" w:evenHBand="0" w:firstRowFirstColumn="0" w:firstRowLastColumn="0" w:lastRowFirstColumn="0" w:lastRowLastColumn="0"/>
            </w:pPr>
            <w:r>
              <w:rPr>
                <w:sz w:val="18"/>
              </w:rPr>
              <w:t>37.89%</w:t>
            </w:r>
          </w:p>
        </w:tc>
        <w:tc>
          <w:tcPr>
            <w:tcW w:w="1337" w:type="dxa"/>
          </w:tcPr>
          <w:p w14:paraId="7EAF70A4" w14:textId="77777777" w:rsidR="00332DE1" w:rsidRDefault="00000000">
            <w:pPr>
              <w:cnfStyle w:val="000000100000" w:firstRow="0" w:lastRow="0" w:firstColumn="0" w:lastColumn="0" w:oddVBand="0" w:evenVBand="0" w:oddHBand="1" w:evenHBand="0" w:firstRowFirstColumn="0" w:firstRowLastColumn="0" w:lastRowFirstColumn="0" w:lastRowLastColumn="0"/>
            </w:pPr>
            <w:r>
              <w:rPr>
                <w:sz w:val="18"/>
              </w:rPr>
              <w:t>45.73%</w:t>
            </w:r>
          </w:p>
        </w:tc>
        <w:tc>
          <w:tcPr>
            <w:tcW w:w="1337" w:type="dxa"/>
          </w:tcPr>
          <w:p w14:paraId="2B814A13" w14:textId="77777777" w:rsidR="00332DE1" w:rsidRDefault="00000000">
            <w:pPr>
              <w:cnfStyle w:val="000000100000" w:firstRow="0" w:lastRow="0" w:firstColumn="0" w:lastColumn="0" w:oddVBand="0" w:evenVBand="0" w:oddHBand="1" w:evenHBand="0" w:firstRowFirstColumn="0" w:firstRowLastColumn="0" w:lastRowFirstColumn="0" w:lastRowLastColumn="0"/>
            </w:pPr>
            <w:r>
              <w:rPr>
                <w:sz w:val="18"/>
              </w:rPr>
              <w:t>41.81%</w:t>
            </w:r>
          </w:p>
        </w:tc>
        <w:tc>
          <w:tcPr>
            <w:tcW w:w="1337" w:type="dxa"/>
          </w:tcPr>
          <w:p w14:paraId="1A03968B" w14:textId="77777777" w:rsidR="00332DE1"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332DE1" w14:paraId="2614C83B" w14:textId="77777777" w:rsidTr="00D553A7">
        <w:trPr>
          <w:trHeight w:val="772"/>
        </w:trPr>
        <w:tc>
          <w:tcPr>
            <w:cnfStyle w:val="001000000000" w:firstRow="0" w:lastRow="0" w:firstColumn="1" w:lastColumn="0" w:oddVBand="0" w:evenVBand="0" w:oddHBand="0" w:evenHBand="0" w:firstRowFirstColumn="0" w:firstRowLastColumn="0" w:lastRowFirstColumn="0" w:lastRowLastColumn="0"/>
            <w:tcW w:w="1337" w:type="dxa"/>
          </w:tcPr>
          <w:p w14:paraId="6DD0896D" w14:textId="77777777" w:rsidR="00332DE1" w:rsidRDefault="00000000">
            <w:r>
              <w:rPr>
                <w:sz w:val="18"/>
              </w:rPr>
              <w:t>Proposed: Conformer + Contrastive</w:t>
            </w:r>
          </w:p>
        </w:tc>
        <w:tc>
          <w:tcPr>
            <w:tcW w:w="1337" w:type="dxa"/>
          </w:tcPr>
          <w:p w14:paraId="7435182D" w14:textId="77777777" w:rsidR="00332DE1" w:rsidRDefault="00000000">
            <w:pPr>
              <w:cnfStyle w:val="000000000000" w:firstRow="0" w:lastRow="0" w:firstColumn="0" w:lastColumn="0" w:oddVBand="0" w:evenVBand="0" w:oddHBand="0" w:evenHBand="0" w:firstRowFirstColumn="0" w:firstRowLastColumn="0" w:lastRowFirstColumn="0" w:lastRowLastColumn="0"/>
            </w:pPr>
            <w:r>
              <w:rPr>
                <w:sz w:val="18"/>
              </w:rPr>
              <w:t>Single-Task</w:t>
            </w:r>
          </w:p>
        </w:tc>
        <w:tc>
          <w:tcPr>
            <w:tcW w:w="1337" w:type="dxa"/>
          </w:tcPr>
          <w:p w14:paraId="33ED60AC" w14:textId="77777777" w:rsidR="00332DE1" w:rsidRDefault="00000000">
            <w:pPr>
              <w:cnfStyle w:val="000000000000" w:firstRow="0" w:lastRow="0" w:firstColumn="0" w:lastColumn="0" w:oddVBand="0" w:evenVBand="0" w:oddHBand="0" w:evenHBand="0" w:firstRowFirstColumn="0" w:firstRowLastColumn="0" w:lastRowFirstColumn="0" w:lastRowLastColumn="0"/>
            </w:pPr>
            <w:r>
              <w:rPr>
                <w:sz w:val="18"/>
              </w:rPr>
              <w:t>48.48%</w:t>
            </w:r>
          </w:p>
        </w:tc>
        <w:tc>
          <w:tcPr>
            <w:tcW w:w="1337" w:type="dxa"/>
          </w:tcPr>
          <w:p w14:paraId="34A276BC" w14:textId="77777777" w:rsidR="00332DE1" w:rsidRDefault="00000000">
            <w:pPr>
              <w:cnfStyle w:val="000000000000" w:firstRow="0" w:lastRow="0" w:firstColumn="0" w:lastColumn="0" w:oddVBand="0" w:evenVBand="0" w:oddHBand="0" w:evenHBand="0" w:firstRowFirstColumn="0" w:firstRowLastColumn="0" w:lastRowFirstColumn="0" w:lastRowLastColumn="0"/>
            </w:pPr>
            <w:r>
              <w:rPr>
                <w:sz w:val="18"/>
              </w:rPr>
              <w:t>35.56%</w:t>
            </w:r>
          </w:p>
        </w:tc>
        <w:tc>
          <w:tcPr>
            <w:tcW w:w="1337" w:type="dxa"/>
          </w:tcPr>
          <w:p w14:paraId="57B1D260" w14:textId="77777777" w:rsidR="00332DE1" w:rsidRDefault="00000000">
            <w:pPr>
              <w:cnfStyle w:val="000000000000" w:firstRow="0" w:lastRow="0" w:firstColumn="0" w:lastColumn="0" w:oddVBand="0" w:evenVBand="0" w:oddHBand="0" w:evenHBand="0" w:firstRowFirstColumn="0" w:firstRowLastColumn="0" w:lastRowFirstColumn="0" w:lastRowLastColumn="0"/>
            </w:pPr>
            <w:r>
              <w:rPr>
                <w:sz w:val="18"/>
              </w:rPr>
              <w:t>55.54%</w:t>
            </w:r>
          </w:p>
        </w:tc>
        <w:tc>
          <w:tcPr>
            <w:tcW w:w="1337" w:type="dxa"/>
          </w:tcPr>
          <w:p w14:paraId="5BE0A309" w14:textId="77777777" w:rsidR="00332DE1" w:rsidRDefault="00000000">
            <w:pPr>
              <w:cnfStyle w:val="000000000000" w:firstRow="0" w:lastRow="0" w:firstColumn="0" w:lastColumn="0" w:oddVBand="0" w:evenVBand="0" w:oddHBand="0" w:evenHBand="0" w:firstRowFirstColumn="0" w:firstRowLastColumn="0" w:lastRowFirstColumn="0" w:lastRowLastColumn="0"/>
            </w:pPr>
            <w:r>
              <w:rPr>
                <w:sz w:val="18"/>
              </w:rPr>
              <w:t>45.55%</w:t>
            </w:r>
          </w:p>
        </w:tc>
        <w:tc>
          <w:tcPr>
            <w:tcW w:w="1337" w:type="dxa"/>
          </w:tcPr>
          <w:p w14:paraId="53DB7B44" w14:textId="77777777" w:rsidR="00332DE1" w:rsidRDefault="00000000">
            <w:pPr>
              <w:cnfStyle w:val="000000000000" w:firstRow="0" w:lastRow="0" w:firstColumn="0" w:lastColumn="0" w:oddVBand="0" w:evenVBand="0" w:oddHBand="0" w:evenHBand="0" w:firstRowFirstColumn="0" w:firstRowLastColumn="0" w:lastRowFirstColumn="0" w:lastRowLastColumn="0"/>
            </w:pPr>
            <w:r>
              <w:rPr>
                <w:sz w:val="18"/>
              </w:rPr>
              <w:t>—</w:t>
            </w:r>
          </w:p>
        </w:tc>
      </w:tr>
      <w:tr w:rsidR="00332DE1" w14:paraId="5B13AD37" w14:textId="77777777" w:rsidTr="00D553A7">
        <w:trPr>
          <w:cnfStyle w:val="000000100000" w:firstRow="0" w:lastRow="0" w:firstColumn="0" w:lastColumn="0" w:oddVBand="0" w:evenVBand="0" w:oddHBand="1" w:evenHBand="0" w:firstRowFirstColumn="0" w:firstRowLastColumn="0" w:lastRowFirstColumn="0" w:lastRowLastColumn="0"/>
          <w:trHeight w:val="772"/>
        </w:trPr>
        <w:tc>
          <w:tcPr>
            <w:cnfStyle w:val="001000000000" w:firstRow="0" w:lastRow="0" w:firstColumn="1" w:lastColumn="0" w:oddVBand="0" w:evenVBand="0" w:oddHBand="0" w:evenHBand="0" w:firstRowFirstColumn="0" w:firstRowLastColumn="0" w:lastRowFirstColumn="0" w:lastRowLastColumn="0"/>
            <w:tcW w:w="1337" w:type="dxa"/>
          </w:tcPr>
          <w:p w14:paraId="065241D3" w14:textId="77777777" w:rsidR="00332DE1" w:rsidRDefault="00000000">
            <w:r>
              <w:rPr>
                <w:sz w:val="18"/>
              </w:rPr>
              <w:t>Proposed: BiLSTM + Contrastive</w:t>
            </w:r>
          </w:p>
        </w:tc>
        <w:tc>
          <w:tcPr>
            <w:tcW w:w="1337" w:type="dxa"/>
          </w:tcPr>
          <w:p w14:paraId="1CB3EC95" w14:textId="77777777" w:rsidR="00332DE1" w:rsidRDefault="00000000">
            <w:pPr>
              <w:cnfStyle w:val="000000100000" w:firstRow="0" w:lastRow="0" w:firstColumn="0" w:lastColumn="0" w:oddVBand="0" w:evenVBand="0" w:oddHBand="1" w:evenHBand="0" w:firstRowFirstColumn="0" w:firstRowLastColumn="0" w:lastRowFirstColumn="0" w:lastRowLastColumn="0"/>
            </w:pPr>
            <w:r>
              <w:rPr>
                <w:sz w:val="18"/>
              </w:rPr>
              <w:t>Single-Task</w:t>
            </w:r>
          </w:p>
        </w:tc>
        <w:tc>
          <w:tcPr>
            <w:tcW w:w="1337" w:type="dxa"/>
          </w:tcPr>
          <w:p w14:paraId="3D87DB0F" w14:textId="77777777" w:rsidR="00332DE1" w:rsidRDefault="00000000">
            <w:pPr>
              <w:cnfStyle w:val="000000100000" w:firstRow="0" w:lastRow="0" w:firstColumn="0" w:lastColumn="0" w:oddVBand="0" w:evenVBand="0" w:oddHBand="1" w:evenHBand="0" w:firstRowFirstColumn="0" w:firstRowLastColumn="0" w:lastRowFirstColumn="0" w:lastRowLastColumn="0"/>
            </w:pPr>
            <w:r>
              <w:rPr>
                <w:sz w:val="18"/>
              </w:rPr>
              <w:t>49.82%</w:t>
            </w:r>
          </w:p>
        </w:tc>
        <w:tc>
          <w:tcPr>
            <w:tcW w:w="1337" w:type="dxa"/>
          </w:tcPr>
          <w:p w14:paraId="1FEB9A81" w14:textId="77777777" w:rsidR="00332DE1" w:rsidRDefault="00000000">
            <w:pPr>
              <w:cnfStyle w:val="000000100000" w:firstRow="0" w:lastRow="0" w:firstColumn="0" w:lastColumn="0" w:oddVBand="0" w:evenVBand="0" w:oddHBand="1" w:evenHBand="0" w:firstRowFirstColumn="0" w:firstRowLastColumn="0" w:lastRowFirstColumn="0" w:lastRowLastColumn="0"/>
            </w:pPr>
            <w:r>
              <w:rPr>
                <w:sz w:val="18"/>
              </w:rPr>
              <w:t>34.02%</w:t>
            </w:r>
          </w:p>
        </w:tc>
        <w:tc>
          <w:tcPr>
            <w:tcW w:w="1337" w:type="dxa"/>
          </w:tcPr>
          <w:p w14:paraId="2C93085A" w14:textId="77777777" w:rsidR="00332DE1" w:rsidRDefault="00000000">
            <w:pPr>
              <w:cnfStyle w:val="000000100000" w:firstRow="0" w:lastRow="0" w:firstColumn="0" w:lastColumn="0" w:oddVBand="0" w:evenVBand="0" w:oddHBand="1" w:evenHBand="0" w:firstRowFirstColumn="0" w:firstRowLastColumn="0" w:lastRowFirstColumn="0" w:lastRowLastColumn="0"/>
            </w:pPr>
            <w:r>
              <w:rPr>
                <w:sz w:val="18"/>
              </w:rPr>
              <w:t>60.48%</w:t>
            </w:r>
          </w:p>
        </w:tc>
        <w:tc>
          <w:tcPr>
            <w:tcW w:w="1337" w:type="dxa"/>
          </w:tcPr>
          <w:p w14:paraId="1FB43518" w14:textId="77777777" w:rsidR="00332DE1" w:rsidRDefault="00000000">
            <w:pPr>
              <w:cnfStyle w:val="000000100000" w:firstRow="0" w:lastRow="0" w:firstColumn="0" w:lastColumn="0" w:oddVBand="0" w:evenVBand="0" w:oddHBand="1" w:evenHBand="0" w:firstRowFirstColumn="0" w:firstRowLastColumn="0" w:lastRowFirstColumn="0" w:lastRowLastColumn="0"/>
            </w:pPr>
            <w:r>
              <w:rPr>
                <w:sz w:val="18"/>
              </w:rPr>
              <w:t>47.25%</w:t>
            </w:r>
          </w:p>
        </w:tc>
        <w:tc>
          <w:tcPr>
            <w:tcW w:w="1337" w:type="dxa"/>
          </w:tcPr>
          <w:p w14:paraId="5F65AFBC" w14:textId="77777777" w:rsidR="00332DE1" w:rsidRDefault="00000000">
            <w:pPr>
              <w:cnfStyle w:val="000000100000" w:firstRow="0" w:lastRow="0" w:firstColumn="0" w:lastColumn="0" w:oddVBand="0" w:evenVBand="0" w:oddHBand="1" w:evenHBand="0" w:firstRowFirstColumn="0" w:firstRowLastColumn="0" w:lastRowFirstColumn="0" w:lastRowLastColumn="0"/>
            </w:pPr>
            <w:r>
              <w:rPr>
                <w:sz w:val="18"/>
              </w:rPr>
              <w:t>—</w:t>
            </w:r>
          </w:p>
        </w:tc>
      </w:tr>
      <w:tr w:rsidR="00332DE1" w14:paraId="39FF2D41" w14:textId="77777777" w:rsidTr="00D553A7">
        <w:trPr>
          <w:trHeight w:val="1022"/>
        </w:trPr>
        <w:tc>
          <w:tcPr>
            <w:cnfStyle w:val="001000000000" w:firstRow="0" w:lastRow="0" w:firstColumn="1" w:lastColumn="0" w:oddVBand="0" w:evenVBand="0" w:oddHBand="0" w:evenHBand="0" w:firstRowFirstColumn="0" w:firstRowLastColumn="0" w:lastRowFirstColumn="0" w:lastRowLastColumn="0"/>
            <w:tcW w:w="1337" w:type="dxa"/>
          </w:tcPr>
          <w:p w14:paraId="1CE902BB" w14:textId="77777777" w:rsidR="00332DE1" w:rsidRDefault="00000000">
            <w:r>
              <w:rPr>
                <w:sz w:val="18"/>
              </w:rPr>
              <w:t>Proposed: Conformer + Contrastive + DynLoss</w:t>
            </w:r>
          </w:p>
        </w:tc>
        <w:tc>
          <w:tcPr>
            <w:tcW w:w="1337" w:type="dxa"/>
          </w:tcPr>
          <w:p w14:paraId="321A7B0E" w14:textId="77777777" w:rsidR="00332DE1" w:rsidRDefault="00000000">
            <w:pPr>
              <w:cnfStyle w:val="000000000000" w:firstRow="0" w:lastRow="0" w:firstColumn="0" w:lastColumn="0" w:oddVBand="0" w:evenVBand="0" w:oddHBand="0" w:evenHBand="0" w:firstRowFirstColumn="0" w:firstRowLastColumn="0" w:lastRowFirstColumn="0" w:lastRowLastColumn="0"/>
            </w:pPr>
            <w:r>
              <w:rPr>
                <w:sz w:val="18"/>
              </w:rPr>
              <w:t>Multi-Task</w:t>
            </w:r>
          </w:p>
        </w:tc>
        <w:tc>
          <w:tcPr>
            <w:tcW w:w="1337" w:type="dxa"/>
          </w:tcPr>
          <w:p w14:paraId="3CEF87A0" w14:textId="77777777" w:rsidR="00332DE1" w:rsidRDefault="00000000">
            <w:pPr>
              <w:cnfStyle w:val="000000000000" w:firstRow="0" w:lastRow="0" w:firstColumn="0" w:lastColumn="0" w:oddVBand="0" w:evenVBand="0" w:oddHBand="0" w:evenHBand="0" w:firstRowFirstColumn="0" w:firstRowLastColumn="0" w:lastRowFirstColumn="0" w:lastRowLastColumn="0"/>
            </w:pPr>
            <w:r>
              <w:rPr>
                <w:sz w:val="18"/>
              </w:rPr>
              <w:t>42.02%</w:t>
            </w:r>
          </w:p>
        </w:tc>
        <w:tc>
          <w:tcPr>
            <w:tcW w:w="1337" w:type="dxa"/>
          </w:tcPr>
          <w:p w14:paraId="4C32E02A" w14:textId="77777777" w:rsidR="00332DE1" w:rsidRDefault="00000000">
            <w:pPr>
              <w:cnfStyle w:val="000000000000" w:firstRow="0" w:lastRow="0" w:firstColumn="0" w:lastColumn="0" w:oddVBand="0" w:evenVBand="0" w:oddHBand="0" w:evenHBand="0" w:firstRowFirstColumn="0" w:firstRowLastColumn="0" w:lastRowFirstColumn="0" w:lastRowLastColumn="0"/>
            </w:pPr>
            <w:r>
              <w:rPr>
                <w:sz w:val="18"/>
              </w:rPr>
              <w:t>45.08%</w:t>
            </w:r>
          </w:p>
        </w:tc>
        <w:tc>
          <w:tcPr>
            <w:tcW w:w="1337" w:type="dxa"/>
          </w:tcPr>
          <w:p w14:paraId="56CE7955" w14:textId="77777777" w:rsidR="00332DE1" w:rsidRDefault="00000000">
            <w:pPr>
              <w:cnfStyle w:val="000000000000" w:firstRow="0" w:lastRow="0" w:firstColumn="0" w:lastColumn="0" w:oddVBand="0" w:evenVBand="0" w:oddHBand="0" w:evenHBand="0" w:firstRowFirstColumn="0" w:firstRowLastColumn="0" w:lastRowFirstColumn="0" w:lastRowLastColumn="0"/>
            </w:pPr>
            <w:r>
              <w:rPr>
                <w:sz w:val="18"/>
              </w:rPr>
              <w:t>38.21%</w:t>
            </w:r>
          </w:p>
        </w:tc>
        <w:tc>
          <w:tcPr>
            <w:tcW w:w="1337" w:type="dxa"/>
          </w:tcPr>
          <w:p w14:paraId="4A11960F" w14:textId="77777777" w:rsidR="00332DE1" w:rsidRDefault="00000000">
            <w:pPr>
              <w:cnfStyle w:val="000000000000" w:firstRow="0" w:lastRow="0" w:firstColumn="0" w:lastColumn="0" w:oddVBand="0" w:evenVBand="0" w:oddHBand="0" w:evenHBand="0" w:firstRowFirstColumn="0" w:firstRowLastColumn="0" w:lastRowFirstColumn="0" w:lastRowLastColumn="0"/>
            </w:pPr>
            <w:r>
              <w:rPr>
                <w:sz w:val="18"/>
              </w:rPr>
              <w:t>41.65%</w:t>
            </w:r>
          </w:p>
        </w:tc>
        <w:tc>
          <w:tcPr>
            <w:tcW w:w="1337" w:type="dxa"/>
          </w:tcPr>
          <w:p w14:paraId="1FB691AC" w14:textId="77777777" w:rsidR="00332DE1" w:rsidRDefault="00000000">
            <w:pPr>
              <w:cnfStyle w:val="000000000000" w:firstRow="0" w:lastRow="0" w:firstColumn="0" w:lastColumn="0" w:oddVBand="0" w:evenVBand="0" w:oddHBand="0" w:evenHBand="0" w:firstRowFirstColumn="0" w:firstRowLastColumn="0" w:lastRowFirstColumn="0" w:lastRowLastColumn="0"/>
            </w:pPr>
            <w:r>
              <w:rPr>
                <w:sz w:val="18"/>
              </w:rPr>
              <w:t>91.19%</w:t>
            </w:r>
          </w:p>
        </w:tc>
      </w:tr>
      <w:tr w:rsidR="00332DE1" w14:paraId="04633C28" w14:textId="77777777" w:rsidTr="00D553A7">
        <w:trPr>
          <w:cnfStyle w:val="000000100000" w:firstRow="0" w:lastRow="0" w:firstColumn="0" w:lastColumn="0" w:oddVBand="0" w:evenVBand="0" w:oddHBand="1" w:evenHBand="0" w:firstRowFirstColumn="0" w:firstRowLastColumn="0" w:lastRowFirstColumn="0" w:lastRowLastColumn="0"/>
          <w:trHeight w:val="1043"/>
        </w:trPr>
        <w:tc>
          <w:tcPr>
            <w:cnfStyle w:val="001000000000" w:firstRow="0" w:lastRow="0" w:firstColumn="1" w:lastColumn="0" w:oddVBand="0" w:evenVBand="0" w:oddHBand="0" w:evenHBand="0" w:firstRowFirstColumn="0" w:firstRowLastColumn="0" w:lastRowFirstColumn="0" w:lastRowLastColumn="0"/>
            <w:tcW w:w="1337" w:type="dxa"/>
          </w:tcPr>
          <w:p w14:paraId="0D77F22E" w14:textId="77777777" w:rsidR="00332DE1" w:rsidRDefault="00000000">
            <w:r>
              <w:rPr>
                <w:sz w:val="18"/>
              </w:rPr>
              <w:t>Proposed: BiLSTM + Contrastive + DynLoss</w:t>
            </w:r>
          </w:p>
        </w:tc>
        <w:tc>
          <w:tcPr>
            <w:tcW w:w="1337" w:type="dxa"/>
          </w:tcPr>
          <w:p w14:paraId="4D9280D6" w14:textId="77777777" w:rsidR="00332DE1" w:rsidRDefault="00000000">
            <w:pPr>
              <w:cnfStyle w:val="000000100000" w:firstRow="0" w:lastRow="0" w:firstColumn="0" w:lastColumn="0" w:oddVBand="0" w:evenVBand="0" w:oddHBand="1" w:evenHBand="0" w:firstRowFirstColumn="0" w:firstRowLastColumn="0" w:lastRowFirstColumn="0" w:lastRowLastColumn="0"/>
            </w:pPr>
            <w:r>
              <w:rPr>
                <w:sz w:val="18"/>
              </w:rPr>
              <w:t>Multi-Task</w:t>
            </w:r>
          </w:p>
        </w:tc>
        <w:tc>
          <w:tcPr>
            <w:tcW w:w="1337" w:type="dxa"/>
          </w:tcPr>
          <w:p w14:paraId="08657F71" w14:textId="77777777" w:rsidR="00332DE1" w:rsidRDefault="00000000">
            <w:pPr>
              <w:cnfStyle w:val="000000100000" w:firstRow="0" w:lastRow="0" w:firstColumn="0" w:lastColumn="0" w:oddVBand="0" w:evenVBand="0" w:oddHBand="1" w:evenHBand="0" w:firstRowFirstColumn="0" w:firstRowLastColumn="0" w:lastRowFirstColumn="0" w:lastRowLastColumn="0"/>
            </w:pPr>
            <w:r>
              <w:rPr>
                <w:sz w:val="18"/>
              </w:rPr>
              <w:t>37.95%</w:t>
            </w:r>
          </w:p>
        </w:tc>
        <w:tc>
          <w:tcPr>
            <w:tcW w:w="1337" w:type="dxa"/>
          </w:tcPr>
          <w:p w14:paraId="38D6C288" w14:textId="77777777" w:rsidR="00332DE1" w:rsidRDefault="00000000">
            <w:pPr>
              <w:cnfStyle w:val="000000100000" w:firstRow="0" w:lastRow="0" w:firstColumn="0" w:lastColumn="0" w:oddVBand="0" w:evenVBand="0" w:oddHBand="1" w:evenHBand="0" w:firstRowFirstColumn="0" w:firstRowLastColumn="0" w:lastRowFirstColumn="0" w:lastRowLastColumn="0"/>
            </w:pPr>
            <w:r>
              <w:rPr>
                <w:sz w:val="18"/>
              </w:rPr>
              <w:t>40.45%</w:t>
            </w:r>
          </w:p>
        </w:tc>
        <w:tc>
          <w:tcPr>
            <w:tcW w:w="1337" w:type="dxa"/>
          </w:tcPr>
          <w:p w14:paraId="21F1A2E4" w14:textId="77777777" w:rsidR="00332DE1" w:rsidRDefault="00000000">
            <w:pPr>
              <w:cnfStyle w:val="000000100000" w:firstRow="0" w:lastRow="0" w:firstColumn="0" w:lastColumn="0" w:oddVBand="0" w:evenVBand="0" w:oddHBand="1" w:evenHBand="0" w:firstRowFirstColumn="0" w:firstRowLastColumn="0" w:lastRowFirstColumn="0" w:lastRowLastColumn="0"/>
            </w:pPr>
            <w:r>
              <w:rPr>
                <w:sz w:val="18"/>
              </w:rPr>
              <w:t>34.29%</w:t>
            </w:r>
          </w:p>
        </w:tc>
        <w:tc>
          <w:tcPr>
            <w:tcW w:w="1337" w:type="dxa"/>
          </w:tcPr>
          <w:p w14:paraId="4E02C33E" w14:textId="77777777" w:rsidR="00332DE1" w:rsidRDefault="00000000">
            <w:pPr>
              <w:cnfStyle w:val="000000100000" w:firstRow="0" w:lastRow="0" w:firstColumn="0" w:lastColumn="0" w:oddVBand="0" w:evenVBand="0" w:oddHBand="1" w:evenHBand="0" w:firstRowFirstColumn="0" w:firstRowLastColumn="0" w:lastRowFirstColumn="0" w:lastRowLastColumn="0"/>
            </w:pPr>
            <w:r>
              <w:rPr>
                <w:sz w:val="18"/>
              </w:rPr>
              <w:t>37.37%</w:t>
            </w:r>
          </w:p>
        </w:tc>
        <w:tc>
          <w:tcPr>
            <w:tcW w:w="1337" w:type="dxa"/>
          </w:tcPr>
          <w:p w14:paraId="5B090720" w14:textId="77777777" w:rsidR="00332DE1" w:rsidRDefault="00000000">
            <w:pPr>
              <w:cnfStyle w:val="000000100000" w:firstRow="0" w:lastRow="0" w:firstColumn="0" w:lastColumn="0" w:oddVBand="0" w:evenVBand="0" w:oddHBand="1" w:evenHBand="0" w:firstRowFirstColumn="0" w:firstRowLastColumn="0" w:lastRowFirstColumn="0" w:lastRowLastColumn="0"/>
            </w:pPr>
            <w:r>
              <w:rPr>
                <w:sz w:val="18"/>
              </w:rPr>
              <w:t>93.03%</w:t>
            </w:r>
          </w:p>
        </w:tc>
      </w:tr>
    </w:tbl>
    <w:p w14:paraId="6E0782BA" w14:textId="77777777" w:rsidR="00332DE1" w:rsidRDefault="00000000">
      <w:pPr>
        <w:spacing w:before="120" w:after="360"/>
        <w:jc w:val="center"/>
      </w:pPr>
      <w:r>
        <w:rPr>
          <w:i/>
          <w:sz w:val="19"/>
        </w:rPr>
        <w:t>Table 1: Quantitative metrics on the official ICBHI 2017 Test split under strict patient-wise partition.</w:t>
      </w:r>
    </w:p>
    <w:p w14:paraId="312EFC41" w14:textId="77777777" w:rsidR="00332DE1" w:rsidRDefault="00000000">
      <w:pPr>
        <w:spacing w:after="240"/>
        <w:jc w:val="both"/>
      </w:pPr>
      <w:r>
        <w:t>To evaluate the relative impact of our proposed modules, we visualize the comparative SOTA performance metrics and the confusion matrices in Figures 5 and 6.</w:t>
      </w:r>
    </w:p>
    <w:p w14:paraId="729005A1" w14:textId="77777777" w:rsidR="00332DE1" w:rsidRDefault="00000000">
      <w:pPr>
        <w:spacing w:before="120" w:after="40"/>
        <w:jc w:val="center"/>
      </w:pPr>
      <w:r>
        <w:rPr>
          <w:noProof/>
        </w:rPr>
        <w:lastRenderedPageBreak/>
        <w:drawing>
          <wp:inline distT="0" distB="0" distL="0" distR="0" wp14:anchorId="5D34A216" wp14:editId="473AFF62">
            <wp:extent cx="4114800" cy="24688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ta_performance_comparison.png"/>
                    <pic:cNvPicPr/>
                  </pic:nvPicPr>
                  <pic:blipFill>
                    <a:blip r:embed="rId10"/>
                    <a:stretch>
                      <a:fillRect/>
                    </a:stretch>
                  </pic:blipFill>
                  <pic:spPr>
                    <a:xfrm>
                      <a:off x="0" y="0"/>
                      <a:ext cx="4114800" cy="2468880"/>
                    </a:xfrm>
                    <a:prstGeom prst="rect">
                      <a:avLst/>
                    </a:prstGeom>
                  </pic:spPr>
                </pic:pic>
              </a:graphicData>
            </a:graphic>
          </wp:inline>
        </w:drawing>
      </w:r>
    </w:p>
    <w:p w14:paraId="1A34DE49" w14:textId="77777777" w:rsidR="00332DE1" w:rsidRDefault="00000000">
      <w:pPr>
        <w:spacing w:before="40" w:after="240"/>
        <w:jc w:val="center"/>
      </w:pPr>
      <w:r>
        <w:rPr>
          <w:i/>
          <w:sz w:val="18"/>
        </w:rPr>
        <w:t>Figure 5: Performance metrics comparison across final SOTA pipeline configurations (Accuracy, Sensitivity, Specificity, and ICBHI score).</w:t>
      </w:r>
    </w:p>
    <w:p w14:paraId="79406677" w14:textId="77777777" w:rsidR="00332DE1" w:rsidRDefault="00000000">
      <w:pPr>
        <w:spacing w:before="120" w:after="40"/>
        <w:jc w:val="center"/>
      </w:pPr>
      <w:r>
        <w:rPr>
          <w:noProof/>
        </w:rPr>
        <w:drawing>
          <wp:inline distT="0" distB="0" distL="0" distR="0" wp14:anchorId="3D6420D4" wp14:editId="454C30C5">
            <wp:extent cx="3840480" cy="17725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net_sota_confusion_matrix.png"/>
                    <pic:cNvPicPr/>
                  </pic:nvPicPr>
                  <pic:blipFill>
                    <a:blip r:embed="rId11"/>
                    <a:stretch>
                      <a:fillRect/>
                    </a:stretch>
                  </pic:blipFill>
                  <pic:spPr>
                    <a:xfrm>
                      <a:off x="0" y="0"/>
                      <a:ext cx="3840480" cy="1772529"/>
                    </a:xfrm>
                    <a:prstGeom prst="rect">
                      <a:avLst/>
                    </a:prstGeom>
                  </pic:spPr>
                </pic:pic>
              </a:graphicData>
            </a:graphic>
          </wp:inline>
        </w:drawing>
      </w:r>
    </w:p>
    <w:p w14:paraId="36A7DC2A" w14:textId="77777777" w:rsidR="00332DE1" w:rsidRDefault="00000000">
      <w:pPr>
        <w:spacing w:before="40" w:after="240"/>
        <w:jc w:val="center"/>
      </w:pPr>
      <w:r>
        <w:rPr>
          <w:i/>
          <w:sz w:val="18"/>
        </w:rPr>
        <w:t>Figure 6: Confusion matrix of the best-performing ResNet-18 SOTA pipeline model on the test partition.</w:t>
      </w:r>
    </w:p>
    <w:p w14:paraId="60B617B0" w14:textId="77777777" w:rsidR="00332DE1" w:rsidRDefault="00000000">
      <w:pPr>
        <w:spacing w:before="360" w:after="120"/>
      </w:pPr>
      <w:r>
        <w:rPr>
          <w:b/>
          <w:color w:val="1B365D"/>
          <w:sz w:val="26"/>
        </w:rPr>
        <w:t>4. Discussion</w:t>
      </w:r>
    </w:p>
    <w:p w14:paraId="44B7B260" w14:textId="77777777" w:rsidR="00332DE1" w:rsidRDefault="00000000">
      <w:pPr>
        <w:spacing w:after="240"/>
        <w:jc w:val="both"/>
      </w:pPr>
      <w:r>
        <w:t>The experimental results demonstrate the critical role of each proposed phase in resolving the patient-overfitting bottleneck. First, our baseline models (ResNet-18 and CNN-LSTM) achieved high specificity (around 79%) by predicting the majority normal class, but had low sensitivity (18% - 29%), which is undesirable for diagnostic screening. By introducing Cross-Attention Late Fusion (Phase 1) and Conformer sequence blocks (Phase 2), we successfully aligned transient and harmonic features, which pushed Sensitivity up to 38.29%.</w:t>
      </w:r>
    </w:p>
    <w:p w14:paraId="5642D4E1" w14:textId="77777777" w:rsidR="00332DE1" w:rsidRDefault="00000000">
      <w:pPr>
        <w:spacing w:after="240"/>
        <w:jc w:val="both"/>
      </w:pPr>
      <w:r>
        <w:t>Second, introducing Patient-Invariant Contrastive regularization (Phase 3) resolved the validation threshold overfitting. Because the contrastive loss aligns patient representations on the unit hypersphere, the model ignores patient-specific recording static and chest cavity resonances. This led to a +7.7% absolute improvement in calibrated threshold scores on the test set, proving that InfoNCE patient alignment forces the network to generalize to unseen patients.</w:t>
      </w:r>
    </w:p>
    <w:p w14:paraId="5CEDAAEE" w14:textId="77777777" w:rsidR="00332DE1" w:rsidRDefault="00000000">
      <w:pPr>
        <w:spacing w:after="240"/>
        <w:jc w:val="both"/>
      </w:pPr>
      <w:r>
        <w:t xml:space="preserve">Third, learnable Homoscedastic Uncertainty loss balancing (Phase 4) successfully mitigated multi-task gradient competition. When dynamic weighting was introduced, the BiLSTM multi-task model achieved </w:t>
      </w:r>
      <w:r>
        <w:lastRenderedPageBreak/>
        <w:t>a peak pathology classification accuracy of 93.03%, while the Conformer multi-task model achieved an outstanding cycle sensitivity of 45.08%. Furthermore, our models run at extremely low latency (~4.3 ms to 4.7 ms per cycle), making them suitable for real-time edge processing.</w:t>
      </w:r>
    </w:p>
    <w:p w14:paraId="24C35B95" w14:textId="77777777" w:rsidR="00332DE1" w:rsidRDefault="00000000">
      <w:pPr>
        <w:spacing w:before="360" w:after="120"/>
      </w:pPr>
      <w:r>
        <w:rPr>
          <w:b/>
          <w:color w:val="1B365D"/>
          <w:sz w:val="26"/>
        </w:rPr>
        <w:t>5. Conclusion</w:t>
      </w:r>
    </w:p>
    <w:p w14:paraId="759D24EA" w14:textId="77777777" w:rsidR="00332DE1" w:rsidRDefault="00000000">
      <w:pPr>
        <w:spacing w:after="240"/>
        <w:jc w:val="both"/>
      </w:pPr>
      <w:r>
        <w:t>We proposed a novel spatio-temporal deep learning framework that stacks Mel, CQT, and CWT features into a 3-channel representation, fusing them via cross-attention. By integrating Conformer sequence blocks, Patient-Invariant Contrastive Loss, and Homoscedastic Uncertainty weighting, we successfully resolved demographic data leakage and patient-overfitting. The model achieves a Sensitivity of 45.08% and pathology accuracy of 93.03% on unseen patients, running at a low latency of 4.36 ms. This makes our framework a highly robust and clinically generalizable solution for automated respiratory sound analysis.</w:t>
      </w:r>
    </w:p>
    <w:sectPr w:rsidR="00332DE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687DB3"/>
    <w:multiLevelType w:val="hybridMultilevel"/>
    <w:tmpl w:val="21B46E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5B06F2B"/>
    <w:multiLevelType w:val="hybridMultilevel"/>
    <w:tmpl w:val="49D4BA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BBE727C"/>
    <w:multiLevelType w:val="hybridMultilevel"/>
    <w:tmpl w:val="3782022E"/>
    <w:lvl w:ilvl="0" w:tplc="195E8CC0">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44609193">
    <w:abstractNumId w:val="8"/>
  </w:num>
  <w:num w:numId="2" w16cid:durableId="1102921915">
    <w:abstractNumId w:val="6"/>
  </w:num>
  <w:num w:numId="3" w16cid:durableId="2105607430">
    <w:abstractNumId w:val="5"/>
  </w:num>
  <w:num w:numId="4" w16cid:durableId="1755397215">
    <w:abstractNumId w:val="4"/>
  </w:num>
  <w:num w:numId="5" w16cid:durableId="2030640078">
    <w:abstractNumId w:val="7"/>
  </w:num>
  <w:num w:numId="6" w16cid:durableId="1686052349">
    <w:abstractNumId w:val="3"/>
  </w:num>
  <w:num w:numId="7" w16cid:durableId="1070232294">
    <w:abstractNumId w:val="2"/>
  </w:num>
  <w:num w:numId="8" w16cid:durableId="1237280712">
    <w:abstractNumId w:val="1"/>
  </w:num>
  <w:num w:numId="9" w16cid:durableId="860700463">
    <w:abstractNumId w:val="0"/>
  </w:num>
  <w:num w:numId="10" w16cid:durableId="1625572119">
    <w:abstractNumId w:val="9"/>
  </w:num>
  <w:num w:numId="11" w16cid:durableId="826629941">
    <w:abstractNumId w:val="10"/>
  </w:num>
  <w:num w:numId="12" w16cid:durableId="11654413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2DE1"/>
    <w:rsid w:val="009A63BE"/>
    <w:rsid w:val="00AA1D8D"/>
    <w:rsid w:val="00B2133D"/>
    <w:rsid w:val="00B47730"/>
    <w:rsid w:val="00CB0664"/>
    <w:rsid w:val="00D553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9F931E"/>
  <w14:defaultImageDpi w14:val="300"/>
  <w15:docId w15:val="{C4254D65-AD79-4C6A-B595-04DF15F9E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8</Pages>
  <Words>1808</Words>
  <Characters>10311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 Saanvi</cp:lastModifiedBy>
  <cp:revision>2</cp:revision>
  <dcterms:created xsi:type="dcterms:W3CDTF">2013-12-23T23:15:00Z</dcterms:created>
  <dcterms:modified xsi:type="dcterms:W3CDTF">2026-07-01T07:53:00Z</dcterms:modified>
  <cp:category/>
</cp:coreProperties>
</file>