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UML Singleton Майерса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179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UML PersonKeeper: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67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Отношения классов в UML PersonKeeper: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Отношение - зависимость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Представляет собой связь между двумя элементами модели, в которой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изменение одного элемента (независимого) может привести к изменению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семантики другого элемента (зависимого).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зависимый - - - - -&gt;независимый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Отношение -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обобщение</w:t>
      </w:r>
      <w:r w:rsidDel="00000000" w:rsidR="00000000" w:rsidRPr="00000000">
        <w:rPr>
          <w:highlight w:val="white"/>
          <w:rtl w:val="0"/>
        </w:rPr>
        <w:t xml:space="preserve"> – выражает специализацию или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наследование</w:t>
      </w:r>
      <w:r w:rsidDel="00000000" w:rsidR="00000000" w:rsidRPr="00000000">
        <w:rPr>
          <w:highlight w:val="white"/>
          <w:rtl w:val="0"/>
        </w:rPr>
        <w:t xml:space="preserve">, в котором специализированный элемент (потомок) строится по спецификациям обобщенного элемента (родителя). Потомок разделяет структуру и поведение родителя. Графически обобщение представлено в виде сплошной линии с пустой стрелкой, указывающей на родителя.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</w:rPr>
        <w:drawing>
          <wp:inline distB="114300" distT="114300" distL="114300" distR="114300">
            <wp:extent cx="1371600" cy="247650"/>
            <wp:effectExtent b="0" l="0" r="0" t="0"/>
            <wp:docPr descr="Обобщение" id="1" name="image1.png"/>
            <a:graphic>
              <a:graphicData uri="http://schemas.openxmlformats.org/drawingml/2006/picture">
                <pic:pic>
                  <pic:nvPicPr>
                    <pic:cNvPr descr="Обобщение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