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Consulting and Non-Disclosure Agreement</w:t>
      </w:r>
    </w:p>
    <w:p>
      <w:pPr>
        <w:spacing w:after="200"/>
        <w:jc w:val="both"/>
      </w:pPr>
      <w:r>
        <w:rPr>
          <w:sz w:val="22"/>
          <w:szCs w:val="22"/>
        </w:rPr>
        <w:t xml:space="preserve">This Consulting and Non-Disclosure Agreement ("Agreement") is made and entered into as of January 10, 2024, by and between Nimbus Analytics Inc., a Delaware corporation with its principal place of business in San Francisco, California ("Company"), and Kavita Rao, an independent consultant ("Consultant").</w:t>
      </w:r>
    </w:p>
    <w:p>
      <w:pPr>
        <w:pStyle w:val="Heading2"/>
        <w:spacing w:after="100" w:before="240"/>
      </w:pPr>
      <w:r>
        <w:t xml:space="preserve">1. Purpose</w:t>
      </w:r>
    </w:p>
    <w:p>
      <w:pPr>
        <w:spacing w:after="120"/>
        <w:jc w:val="both"/>
      </w:pPr>
      <w:r>
        <w:rPr>
          <w:sz w:val="22"/>
          <w:szCs w:val="22"/>
        </w:rPr>
        <w:t xml:space="preserve">Nimbus Analytics Inc. ("Company") wishes to engage Kavita Rao, an independent consultant ("Consultant"), to provide data science advisory services, and in connection with this engagement the parties wish to protect certain confidential information disclosed between them.</w:t>
      </w:r>
    </w:p>
    <w:p>
      <w:pPr>
        <w:pStyle w:val="Heading2"/>
        <w:spacing w:after="100" w:before="240"/>
      </w:pPr>
      <w:r>
        <w:t xml:space="preserve">2. Confidential Information</w:t>
      </w:r>
    </w:p>
    <w:p>
      <w:pPr>
        <w:spacing w:after="120"/>
        <w:jc w:val="both"/>
      </w:pPr>
      <w:r>
        <w:rPr>
          <w:sz w:val="22"/>
          <w:szCs w:val="22"/>
        </w:rPr>
        <w:t xml:space="preserve">Confidential Information includes all technical, financial, and business information disclosed by Company to Consultant, whether marked confidential or not. Consultant agrees not to disclose such information to any third party and to use it solely for the purpose of this engagement.</w:t>
      </w:r>
    </w:p>
    <w:p>
      <w:pPr>
        <w:pStyle w:val="Heading2"/>
        <w:spacing w:after="100" w:before="240"/>
      </w:pPr>
      <w:r>
        <w:t xml:space="preserve">3. Term</w:t>
      </w:r>
    </w:p>
    <w:p>
      <w:pPr>
        <w:spacing w:after="120"/>
        <w:jc w:val="both"/>
      </w:pPr>
      <w:r>
        <w:rPr>
          <w:sz w:val="22"/>
          <w:szCs w:val="22"/>
        </w:rPr>
        <w:t xml:space="preserve">This Agreement shall remain in effect for a period of six (6) months from the Effective Date of January 10, 2024, and may be renewed upon written agreement of both parties.</w:t>
      </w:r>
    </w:p>
    <w:p>
      <w:pPr>
        <w:pStyle w:val="Heading2"/>
        <w:spacing w:after="100" w:before="240"/>
      </w:pPr>
      <w:r>
        <w:t xml:space="preserve">4. Non-Compete</w:t>
      </w:r>
    </w:p>
    <w:p>
      <w:pPr>
        <w:spacing w:after="120"/>
        <w:jc w:val="both"/>
      </w:pPr>
      <w:r>
        <w:rPr>
          <w:sz w:val="22"/>
          <w:szCs w:val="22"/>
        </w:rPr>
        <w:t xml:space="preserve">During the term of this engagement and for an indefinite period thereafter, Consultant shall not provide similar advisory services to any direct competitor of Company operating in the same market segment.</w:t>
      </w:r>
    </w:p>
    <w:p>
      <w:pPr>
        <w:pStyle w:val="Heading2"/>
        <w:spacing w:after="100" w:before="240"/>
      </w:pPr>
      <w:r>
        <w:t xml:space="preserve">5. Termination</w:t>
      </w:r>
    </w:p>
    <w:p>
      <w:pPr>
        <w:spacing w:after="120"/>
        <w:jc w:val="both"/>
      </w:pPr>
      <w:r>
        <w:rPr>
          <w:sz w:val="22"/>
          <w:szCs w:val="22"/>
        </w:rPr>
        <w:t xml:space="preserve">Company may terminate this Agreement at any time and immediately terminate Consultant's engagement in its sole discretion, without cause and without prior notice. Consultant may terminate this Agreement upon fifteen (15) days written notice to Company.</w:t>
      </w:r>
    </w:p>
    <w:p>
      <w:pPr>
        <w:pStyle w:val="Heading2"/>
        <w:spacing w:after="100" w:before="240"/>
      </w:pPr>
      <w:r>
        <w:t xml:space="preserve">6. Indemnification</w:t>
      </w:r>
    </w:p>
    <w:p>
      <w:pPr>
        <w:spacing w:after="120"/>
        <w:jc w:val="both"/>
      </w:pPr>
      <w:r>
        <w:rPr>
          <w:sz w:val="22"/>
          <w:szCs w:val="22"/>
        </w:rPr>
        <w:t xml:space="preserve">Consultant agrees to indemnify and hold harmless Company from any claims, losses, or damages arising from Consultant's breach of confidentiality obligations under this Agreement, including reasonable attorneys' fees.</w:t>
      </w:r>
    </w:p>
    <w:p>
      <w:pPr>
        <w:pStyle w:val="Heading2"/>
        <w:spacing w:after="100" w:before="240"/>
      </w:pPr>
      <w:r>
        <w:t xml:space="preserve">7. Intellectual Property</w:t>
      </w:r>
    </w:p>
    <w:p>
      <w:pPr>
        <w:spacing w:after="120"/>
        <w:jc w:val="both"/>
      </w:pPr>
      <w:r>
        <w:rPr>
          <w:sz w:val="22"/>
          <w:szCs w:val="22"/>
        </w:rPr>
        <w:t xml:space="preserve">Any inventions, reports, analyses, or work product created by Consultant during the engagement shall be the sole and exclusive property of Company.</w:t>
      </w:r>
    </w:p>
    <w:p>
      <w:pPr>
        <w:pStyle w:val="Heading2"/>
        <w:spacing w:after="100" w:before="240"/>
      </w:pPr>
      <w:r>
        <w:t xml:space="preserve">8. Governing Law</w:t>
      </w:r>
    </w:p>
    <w:p>
      <w:pPr>
        <w:spacing w:after="120"/>
        <w:jc w:val="both"/>
      </w:pPr>
      <w:r>
        <w:rPr>
          <w:sz w:val="22"/>
          <w:szCs w:val="22"/>
        </w:rPr>
        <w:t xml:space="preserve">This Agreement shall be governed by the laws of the State of California, and any disputes shall be resolved exclusively in the state or federal courts located in San Francisco, California.</w:t>
      </w:r>
    </w:p>
    <w:p>
      <w:pPr>
        <w:pStyle w:val="Heading2"/>
        <w:spacing w:after="100" w:before="240"/>
      </w:pPr>
      <w:r>
        <w:t xml:space="preserve">9. Dispute Resolution</w:t>
      </w:r>
    </w:p>
    <w:p>
      <w:pPr>
        <w:spacing w:after="120"/>
        <w:jc w:val="both"/>
      </w:pPr>
      <w:r>
        <w:rPr>
          <w:sz w:val="22"/>
          <w:szCs w:val="22"/>
        </w:rPr>
        <w:t xml:space="preserve">Any dispute arising out of or relating to this Agreement shall first be submitted to mediation before either party initiates litigation or arbitration.</w:t>
      </w:r>
    </w:p>
    <w:p>
      <w:pPr>
        <w:spacing w:before="300"/>
      </w:pPr>
    </w:p>
    <w:p>
      <w:pPr>
        <w:spacing w:after="200"/>
      </w:pPr>
      <w:r>
        <w:rPr>
          <w:sz w:val="22"/>
          <w:szCs w:val="22"/>
        </w:rPr>
        <w:t xml:space="preserve">IN WITNESS WHEREOF, the parties have executed this Agreement as of the date first written above.</w:t>
      </w:r>
    </w:p>
    <w:p>
      <w:r>
        <w:rPr>
          <w:sz w:val="22"/>
          <w:szCs w:val="22"/>
        </w:rPr>
        <w:t xml:space="preserve">Nimbus Analytics Inc.                              Kavita Rao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2026-08-11T06:51:02.515Z</dcterms:created>
  <dcterms:modified xsi:type="dcterms:W3CDTF">2026-08-11T06:51:02.530Z</dcterms:modified>
</cp:coreProperties>
</file>

<file path=docProps/custom.xml><?xml version="1.0" encoding="utf-8"?>
<Properties xmlns="http://schemas.openxmlformats.org/officeDocument/2006/custom-properties" xmlns:vt="http://schemas.openxmlformats.org/officeDocument/2006/docPropsVTypes"/>
</file>