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TÀI LIỆU NGHIÊN CỨU</w:t>
      </w:r>
    </w:p>
    <w:p>
      <w:pPr>
        <w:pStyle w:val="Title"/>
        <w:jc w:val="center"/>
      </w:pPr>
      <w:r>
        <w:t>Kiến trúc Zero Trust cho mạng doanh nghiệp hiện đại</w:t>
      </w:r>
    </w:p>
    <w:p>
      <w:pPr>
        <w:jc w:val="center"/>
      </w:pPr>
      <w:r>
        <w:rPr>
          <w:i/>
          <w:sz w:val="28"/>
        </w:rPr>
        <w:t>Nguyên tắc, chiến lược triển khai, lợi ích và thách thức</w:t>
      </w:r>
    </w:p>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1"/>
              </w:rPr>
              <w:t>Lĩnh vực</w:t>
            </w:r>
          </w:p>
        </w:tc>
        <w:tc>
          <w:tcPr>
            <w:tcW w:type="dxa" w:w="4680"/>
          </w:tcPr>
          <w:p>
            <w:r>
              <w:rPr>
                <w:rFonts w:ascii="Times New Roman" w:hAnsi="Times New Roman"/>
                <w:sz w:val="21"/>
              </w:rPr>
              <w:t>An ninh mạng / Bảo mật mạng</w:t>
            </w:r>
          </w:p>
        </w:tc>
      </w:tr>
      <w:tr>
        <w:tc>
          <w:tcPr>
            <w:tcW w:type="dxa" w:w="4680"/>
          </w:tcPr>
          <w:p>
            <w:r>
              <w:rPr>
                <w:rFonts w:ascii="Times New Roman" w:hAnsi="Times New Roman"/>
                <w:sz w:val="21"/>
              </w:rPr>
              <w:t>Loại nghiên cứu</w:t>
            </w:r>
          </w:p>
        </w:tc>
        <w:tc>
          <w:tcPr>
            <w:tcW w:type="dxa" w:w="4680"/>
          </w:tcPr>
          <w:p>
            <w:r>
              <w:rPr>
                <w:rFonts w:ascii="Times New Roman" w:hAnsi="Times New Roman"/>
                <w:sz w:val="21"/>
              </w:rPr>
              <w:t>Nghiên cứu kỹ thuật dựa trên tổng quan tài liệu</w:t>
            </w:r>
          </w:p>
        </w:tc>
      </w:tr>
      <w:tr>
        <w:tc>
          <w:tcPr>
            <w:tcW w:type="dxa" w:w="4680"/>
          </w:tcPr>
          <w:p>
            <w:r>
              <w:rPr>
                <w:rFonts w:ascii="Times New Roman" w:hAnsi="Times New Roman"/>
                <w:sz w:val="21"/>
              </w:rPr>
              <w:t>Thời gian</w:t>
            </w:r>
          </w:p>
        </w:tc>
        <w:tc>
          <w:tcPr>
            <w:tcW w:type="dxa" w:w="4680"/>
          </w:tcPr>
          <w:p>
            <w:r>
              <w:rPr>
                <w:rFonts w:ascii="Times New Roman" w:hAnsi="Times New Roman"/>
                <w:sz w:val="21"/>
              </w:rPr>
              <w:t>Tháng 9 năm 2026</w:t>
            </w:r>
          </w:p>
        </w:tc>
      </w:tr>
    </w:tbl>
    <w:p>
      <w:r>
        <w:br w:type="page"/>
      </w:r>
    </w:p>
    <w:p>
      <w:pPr>
        <w:pStyle w:val="Heading1"/>
      </w:pPr>
      <w:r>
        <w:t>Tóm tắt</w:t>
      </w:r>
    </w:p>
    <w:p>
      <w:r>
        <w:t>Các mô hình bảo mật doanh nghiệp truyền thống thường được xây dựng dựa trên giả định rằng mạng nội bộ là khu vực đáng tin cậy và được bảo vệ bởi một vành đai an ninh mạnh. Tuy nhiên, điện toán đám mây, làm việc từ xa, phần mềm dưới dạng dịch vụ (SaaS), thiết bị di động và các ứng dụng phân tán đã làm suy giảm hiệu quả của giả định này. Tài liệu nghiên cứu Kiến trúc Zero Trust (Zero Trust Architecture - ZTA), một cách tiếp cận bảo mật trong đó quyết định truy cập dựa trên việc xác minh rõ ràng, nguyên tắc đặc quyền tối thiểu, trạng thái người dùng và thiết bị, cũng như đánh giá liên tục thay vì chỉ dựa vào vị trí mạng. Nghiên cứu trình bày các nguyên tắc cốt lõi, đề xuất lộ trình triển khai thực tế, phân tích lợi ích và hạn chế, đồng thời xây dựng kiến trúc tham chiếu phù hợp với doanh nghiệp hiện đại. Kết quả cho thấy Zero Trust nên được xem là một quá trình chuyển đổi bảo mật từng bước thay vì một sản phẩm đơn lẻ.</w:t>
      </w:r>
    </w:p>
    <w:p>
      <w:pPr>
        <w:pStyle w:val="Heading1"/>
      </w:pPr>
      <w:r>
        <w:t>1. Giới thiệu</w:t>
      </w:r>
    </w:p>
    <w:p>
      <w:r>
        <w:t>Mạng doanh nghiệp đã thay đổi đáng kể trong những năm gần đây. Nhân viên có thể kết nối từ văn phòng, nhà riêng, khách sạn hoặc mạng di động; ứng dụng có thể hoạt động tại trung tâm dữ liệu riêng, đám mây công cộng hoặc các nền tảng SaaS; dữ liệu kinh doanh có thể được trao đổi qua nhiều dịch vụ độc lập. Trong môi trường này, việc mặc định tin cậy người dùng và thiết bị chỉ vì chúng đang ở trong mạng nội bộ có thể tạo ra rủi ro nghiêm trọng.</w:t>
      </w:r>
    </w:p>
    <w:p>
      <w:r>
        <w:t>Zero Trust thay thế sự tin cậy ngầm định bằng mô hình kiểm soát dựa trên chính sách. Mỗi yêu cầu truy cập cần được đánh giá dựa trên danh tính người dùng, thiết bị, tài nguyên được yêu cầu, mức độ xác thực và rủi ro hiện tại. Mục tiêu không phải loại bỏ hoàn toàn khả năng bị tấn công mà là giảm xác suất và tác động của truy cập trái phép cũng như hạn chế khả năng di chuyển ngang của kẻ tấn công trong hệ thống.</w:t>
      </w:r>
    </w:p>
    <w:p>
      <w:pPr>
        <w:pStyle w:val="Heading1"/>
      </w:pPr>
      <w:r>
        <w:t>2. Mục tiêu và phương pháp nghiên cứu</w:t>
      </w:r>
    </w:p>
    <w:p>
      <w:r>
        <w:t>Nghiên cứu có bốn mục tiêu chính: (1) giải thích các nguyên tắc bảo mật của Zero Trust; (2) xác định các thành phần kỹ thuật cần thiết để triển khai; (3) đánh giá những lợi ích và thách thức chính; và (4) đề xuất chiến lược triển khai theo từng giai đoạn cho doanh nghiệp đang sử dụng mô hình bảo mật dựa trên vành đai mạng.</w:t>
      </w:r>
    </w:p>
    <w:p>
      <w:r>
        <w:t>Phương pháp được sử dụng là tổng quan tài liệu định tính. Nội dung tổng hợp các hướng dẫn phổ biến của các tổ chức tiêu chuẩn và cơ quan an ninh mạng, kết hợp với các thực hành về quản lý danh tính, bảo mật thiết bị đầu cuối, phân đoạn mạng, ghi nhật ký và bảo mật ứng dụng.</w:t>
      </w:r>
    </w:p>
    <w:p>
      <w:pPr>
        <w:pStyle w:val="Heading1"/>
      </w:pPr>
      <w:r>
        <w:t>3. Các nguyên tắc cốt lõi của Zero Trust</w:t>
      </w:r>
    </w:p>
    <w:p>
      <w:r>
        <w:rPr>
          <w:b/>
        </w:rPr>
        <w:t xml:space="preserve">Xác minh rõ ràng. </w:t>
      </w:r>
      <w:r>
        <w:t>Xác thực và cấp quyền dựa trên nhiều tín hiệu như danh tính, trạng thái MFA, tình trạng thiết bị, vị trí, danh tính workload và độ nhạy cảm của tài nguyên.</w:t>
      </w:r>
    </w:p>
    <w:p>
      <w:r>
        <w:rPr>
          <w:b/>
        </w:rPr>
        <w:t xml:space="preserve">Áp dụng đặc quyền tối thiểu. </w:t>
      </w:r>
      <w:r>
        <w:t>Chỉ cấp các quyền cần thiết cho công việc và hạn chế quyền quản trị rộng hoặc tồn tại trong thời gian dài.</w:t>
      </w:r>
    </w:p>
    <w:p>
      <w:r>
        <w:rPr>
          <w:b/>
        </w:rPr>
        <w:t xml:space="preserve">Giả định hệ thống có thể đã bị xâm nhập. </w:t>
      </w:r>
      <w:r>
        <w:t>Thiết kế kiểm soát với giả định kẻ tấn công có thể đã chiếm được thông tin đăng nhập hoặc một thiết bị, từ đó hạn chế di chuyển ngang.</w:t>
      </w:r>
    </w:p>
    <w:p>
      <w:r>
        <w:rPr>
          <w:b/>
        </w:rPr>
        <w:t xml:space="preserve">Bảo vệ tài nguyên thay vì chỉ bảo vệ mạng. </w:t>
      </w:r>
      <w:r>
        <w:t>Chính sách bảo mật phải theo sát ứng dụng, dữ liệu, dịch vụ và workload kể cả khi chúng nằm ngoài mạng nội bộ.</w:t>
      </w:r>
    </w:p>
    <w:p>
      <w:r>
        <w:rPr>
          <w:b/>
        </w:rPr>
        <w:t xml:space="preserve">Đánh giá liên tục. </w:t>
      </w:r>
      <w:r>
        <w:t>Một lần đăng nhập thành công không đồng nghĩa với sự tin cậy vĩnh viễn; phiên truy cập phải được đánh giá lại khi ngữ cảnh hoặc mức rủi ro thay đổi.</w:t>
      </w:r>
    </w:p>
    <w:p>
      <w:pPr>
        <w:pStyle w:val="Heading1"/>
      </w:pPr>
      <w:r>
        <w:t>4. Kiến trúc tham chiếu</w:t>
      </w:r>
    </w:p>
    <w:p>
      <w:r>
        <w:t>Một môi trường Zero Trust thực tế bao gồm nhiều lớp kiểm soát phối hợp. Hệ thống danh tính xác định ai hoặc thành phần nào đang yêu cầu truy cập. Các công cụ quản lý thiết bị đánh giá mức độ tuân thủ của thiết bị. Bộ máy chính sách kết hợp các tín hiệu này với độ nhạy cảm của tài nguyên và quy tắc tổ chức. Điểm thực thi chính sách sau đó cho phép, từ chối hoặc giới hạn yêu cầu truy cập.</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sz w:val="21"/>
              </w:rPr>
              <w:t>Thành phần</w:t>
            </w:r>
          </w:p>
        </w:tc>
        <w:tc>
          <w:tcPr>
            <w:tcW w:type="dxa" w:w="3120"/>
          </w:tcPr>
          <w:p>
            <w:r>
              <w:rPr>
                <w:rFonts w:ascii="Times New Roman" w:hAnsi="Times New Roman"/>
                <w:sz w:val="21"/>
              </w:rPr>
              <w:t>Vai trò chính</w:t>
            </w:r>
          </w:p>
        </w:tc>
        <w:tc>
          <w:tcPr>
            <w:tcW w:type="dxa" w:w="3120"/>
          </w:tcPr>
          <w:p>
            <w:r>
              <w:rPr>
                <w:rFonts w:ascii="Times New Roman" w:hAnsi="Times New Roman"/>
                <w:sz w:val="21"/>
              </w:rPr>
              <w:t>Biện pháp điển hình</w:t>
            </w:r>
          </w:p>
        </w:tc>
      </w:tr>
      <w:tr>
        <w:tc>
          <w:tcPr>
            <w:tcW w:type="dxa" w:w="3120"/>
          </w:tcPr>
          <w:p>
            <w:r>
              <w:rPr>
                <w:rFonts w:ascii="Times New Roman" w:hAnsi="Times New Roman"/>
                <w:sz w:val="21"/>
              </w:rPr>
              <w:t>Nhà cung cấp danh tính</w:t>
            </w:r>
          </w:p>
        </w:tc>
        <w:tc>
          <w:tcPr>
            <w:tcW w:type="dxa" w:w="3120"/>
          </w:tcPr>
          <w:p>
            <w:r>
              <w:rPr>
                <w:rFonts w:ascii="Times New Roman" w:hAnsi="Times New Roman"/>
                <w:sz w:val="21"/>
              </w:rPr>
              <w:t>Xác thực người dùng và workload</w:t>
            </w:r>
          </w:p>
        </w:tc>
        <w:tc>
          <w:tcPr>
            <w:tcW w:type="dxa" w:w="3120"/>
          </w:tcPr>
          <w:p>
            <w:r>
              <w:rPr>
                <w:rFonts w:ascii="Times New Roman" w:hAnsi="Times New Roman"/>
                <w:sz w:val="21"/>
              </w:rPr>
              <w:t>MFA, SSO, truy cập có điều kiện</w:t>
            </w:r>
          </w:p>
        </w:tc>
      </w:tr>
      <w:tr>
        <w:tc>
          <w:tcPr>
            <w:tcW w:type="dxa" w:w="3120"/>
          </w:tcPr>
          <w:p>
            <w:r>
              <w:rPr>
                <w:rFonts w:ascii="Times New Roman" w:hAnsi="Times New Roman"/>
                <w:sz w:val="21"/>
              </w:rPr>
              <w:t>Bộ máy chính sách</w:t>
            </w:r>
          </w:p>
        </w:tc>
        <w:tc>
          <w:tcPr>
            <w:tcW w:type="dxa" w:w="3120"/>
          </w:tcPr>
          <w:p>
            <w:r>
              <w:rPr>
                <w:rFonts w:ascii="Times New Roman" w:hAnsi="Times New Roman"/>
                <w:sz w:val="21"/>
              </w:rPr>
              <w:t>Tính toán quyết định truy cập</w:t>
            </w:r>
          </w:p>
        </w:tc>
        <w:tc>
          <w:tcPr>
            <w:tcW w:type="dxa" w:w="3120"/>
          </w:tcPr>
          <w:p>
            <w:r>
              <w:rPr>
                <w:rFonts w:ascii="Times New Roman" w:hAnsi="Times New Roman"/>
                <w:sz w:val="21"/>
              </w:rPr>
              <w:t>Quy tắc rủi ro, đặc quyền tối thiểu</w:t>
            </w:r>
          </w:p>
        </w:tc>
      </w:tr>
      <w:tr>
        <w:tc>
          <w:tcPr>
            <w:tcW w:type="dxa" w:w="3120"/>
          </w:tcPr>
          <w:p>
            <w:r>
              <w:rPr>
                <w:rFonts w:ascii="Times New Roman" w:hAnsi="Times New Roman"/>
                <w:sz w:val="21"/>
              </w:rPr>
              <w:t>Điểm thực thi chính sách</w:t>
            </w:r>
          </w:p>
        </w:tc>
        <w:tc>
          <w:tcPr>
            <w:tcW w:type="dxa" w:w="3120"/>
          </w:tcPr>
          <w:p>
            <w:r>
              <w:rPr>
                <w:rFonts w:ascii="Times New Roman" w:hAnsi="Times New Roman"/>
                <w:sz w:val="21"/>
              </w:rPr>
              <w:t>Áp dụng quyết định truy cập</w:t>
            </w:r>
          </w:p>
        </w:tc>
        <w:tc>
          <w:tcPr>
            <w:tcW w:type="dxa" w:w="3120"/>
          </w:tcPr>
          <w:p>
            <w:r>
              <w:rPr>
                <w:rFonts w:ascii="Times New Roman" w:hAnsi="Times New Roman"/>
                <w:sz w:val="21"/>
              </w:rPr>
              <w:t>Gateway, proxy, ứng dụng, firewall</w:t>
            </w:r>
          </w:p>
        </w:tc>
      </w:tr>
      <w:tr>
        <w:tc>
          <w:tcPr>
            <w:tcW w:type="dxa" w:w="3120"/>
          </w:tcPr>
          <w:p>
            <w:r>
              <w:rPr>
                <w:rFonts w:ascii="Times New Roman" w:hAnsi="Times New Roman"/>
                <w:sz w:val="21"/>
              </w:rPr>
              <w:t>Bảo mật thiết bị đầu cuối</w:t>
            </w:r>
          </w:p>
        </w:tc>
        <w:tc>
          <w:tcPr>
            <w:tcW w:type="dxa" w:w="3120"/>
          </w:tcPr>
          <w:p>
            <w:r>
              <w:rPr>
                <w:rFonts w:ascii="Times New Roman" w:hAnsi="Times New Roman"/>
                <w:sz w:val="21"/>
              </w:rPr>
              <w:t>Đánh giá tình trạng thiết bị</w:t>
            </w:r>
          </w:p>
        </w:tc>
        <w:tc>
          <w:tcPr>
            <w:tcW w:type="dxa" w:w="3120"/>
          </w:tcPr>
          <w:p>
            <w:r>
              <w:rPr>
                <w:rFonts w:ascii="Times New Roman" w:hAnsi="Times New Roman"/>
                <w:sz w:val="21"/>
              </w:rPr>
              <w:t>Bản vá, EDR, mã hóa, tuân thủ</w:t>
            </w:r>
          </w:p>
        </w:tc>
      </w:tr>
      <w:tr>
        <w:tc>
          <w:tcPr>
            <w:tcW w:type="dxa" w:w="3120"/>
          </w:tcPr>
          <w:p>
            <w:r>
              <w:rPr>
                <w:rFonts w:ascii="Times New Roman" w:hAnsi="Times New Roman"/>
                <w:sz w:val="21"/>
              </w:rPr>
              <w:t>Phân đoạn mạng</w:t>
            </w:r>
          </w:p>
        </w:tc>
        <w:tc>
          <w:tcPr>
            <w:tcW w:type="dxa" w:w="3120"/>
          </w:tcPr>
          <w:p>
            <w:r>
              <w:rPr>
                <w:rFonts w:ascii="Times New Roman" w:hAnsi="Times New Roman"/>
                <w:sz w:val="21"/>
              </w:rPr>
              <w:t>Hạn chế di chuyển ngang</w:t>
            </w:r>
          </w:p>
        </w:tc>
        <w:tc>
          <w:tcPr>
            <w:tcW w:type="dxa" w:w="3120"/>
          </w:tcPr>
          <w:p>
            <w:r>
              <w:rPr>
                <w:rFonts w:ascii="Times New Roman" w:hAnsi="Times New Roman"/>
                <w:sz w:val="21"/>
              </w:rPr>
              <w:t>Microsegmentation, chính sách workload</w:t>
            </w:r>
          </w:p>
        </w:tc>
      </w:tr>
      <w:tr>
        <w:tc>
          <w:tcPr>
            <w:tcW w:type="dxa" w:w="3120"/>
          </w:tcPr>
          <w:p>
            <w:r>
              <w:rPr>
                <w:rFonts w:ascii="Times New Roman" w:hAnsi="Times New Roman"/>
                <w:sz w:val="21"/>
              </w:rPr>
              <w:t>Giám sát và phân tích</w:t>
            </w:r>
          </w:p>
        </w:tc>
        <w:tc>
          <w:tcPr>
            <w:tcW w:type="dxa" w:w="3120"/>
          </w:tcPr>
          <w:p>
            <w:r>
              <w:rPr>
                <w:rFonts w:ascii="Times New Roman" w:hAnsi="Times New Roman"/>
                <w:sz w:val="21"/>
              </w:rPr>
              <w:t>Phát hiện bất thường và hỗ trợ ứng phó</w:t>
            </w:r>
          </w:p>
        </w:tc>
        <w:tc>
          <w:tcPr>
            <w:tcW w:type="dxa" w:w="3120"/>
          </w:tcPr>
          <w:p>
            <w:r>
              <w:rPr>
                <w:rFonts w:ascii="Times New Roman" w:hAnsi="Times New Roman"/>
                <w:sz w:val="21"/>
              </w:rPr>
              <w:t>SIEM, nhật ký, phân tích hành vi</w:t>
            </w:r>
          </w:p>
        </w:tc>
      </w:tr>
    </w:tbl>
    <w:p>
      <w:pPr>
        <w:pStyle w:val="Heading1"/>
      </w:pPr>
      <w:r>
        <w:t>5. Chiến lược triển khai</w:t>
      </w:r>
    </w:p>
    <w:p>
      <w:pPr>
        <w:pStyle w:val="Heading2"/>
      </w:pPr>
      <w:r>
        <w:t>5.1 Giai đoạn 1: Kiểm kê và phân loại</w:t>
      </w:r>
    </w:p>
    <w:p>
      <w:r>
        <w:t>Doanh nghiệp cần xác định người dùng, tài khoản đặc quyền, thiết bị đầu cuối, ứng dụng, dịch vụ, kho dữ liệu và các luồng lưu lượng quan trọng. Tài sản phải được phân loại theo mức độ quan trọng và độ nhạy cảm.</w:t>
      </w:r>
    </w:p>
    <w:p>
      <w:pPr>
        <w:pStyle w:val="Heading2"/>
      </w:pPr>
      <w:r>
        <w:t>5.2 Giai đoạn 2: Tăng cường quản lý danh tính</w:t>
      </w:r>
    </w:p>
    <w:p>
      <w:r>
        <w:t>Cần triển khai hoặc cải thiện hệ thống danh tính tập trung, xác thực đa yếu tố, quản lý vòng đời tài khoản và kiểm soát truy cập dựa trên vai trò hoặc thuộc tính. Tài khoản quản trị cần được bảo vệ ở mức cao hơn.</w:t>
      </w:r>
    </w:p>
    <w:p>
      <w:pPr>
        <w:pStyle w:val="Heading2"/>
      </w:pPr>
      <w:r>
        <w:t>5.3 Giai đoạn 3: Thiết lập độ tin cậy của thiết bị</w:t>
      </w:r>
    </w:p>
    <w:p>
      <w:r>
        <w:t>Thiết bị cần được đánh giá dựa trên trạng thái bản vá, mã hóa, phần mềm bảo vệ đầu cuối và cấu hình tuân thủ. Thiết bị không xác định hoặc không an toàn có thể bị từ chối hoặc giới hạn quyền truy cập.</w:t>
      </w:r>
    </w:p>
    <w:p>
      <w:pPr>
        <w:pStyle w:val="Heading2"/>
      </w:pPr>
      <w:r>
        <w:t>5.4 Giai đoạn 4: Phân đoạn các tài nguyên quan trọng</w:t>
      </w:r>
    </w:p>
    <w:p>
      <w:r>
        <w:t>Các ứng dụng và workload quan trọng nên được đặt sau các điểm thực thi chính sách rõ ràng. Phân đoạn giúp giảm số lượng hệ thống mà kẻ tấn công có thể tiếp cận sau khi chiếm được một tài khoản hoặc thiết bị.</w:t>
      </w:r>
    </w:p>
    <w:p>
      <w:pPr>
        <w:pStyle w:val="Heading2"/>
      </w:pPr>
      <w:r>
        <w:t>5.5 Giai đoạn 5: Giám sát và cải tiến liên tục</w:t>
      </w:r>
    </w:p>
    <w:p>
      <w:r>
        <w:t>Sự kiện xác thực, tín hiệu thiết bị, quyết định chính sách, nhật ký ứng dụng và dữ liệu mạng cần được tập trung để phân tích. Chính sách phải được rà soát sau sự cố hoặc khi môi trường thay đổi.</w:t>
      </w:r>
    </w:p>
    <w:p>
      <w:pPr>
        <w:pStyle w:val="Heading1"/>
      </w:pPr>
      <w:r>
        <w:t>6. Lợi ích</w:t>
      </w:r>
    </w:p>
    <w:p>
      <w:pPr>
        <w:pStyle w:val="ListBullet"/>
      </w:pPr>
      <w:r>
        <w:t>Giảm khả năng di chuyển ngang của kẻ tấn công nhờ giới hạn quyền truy cập giữa các tài nguyên.</w:t>
      </w:r>
    </w:p>
    <w:p>
      <w:pPr>
        <w:pStyle w:val="ListBullet"/>
      </w:pPr>
      <w:r>
        <w:t>Tăng khả năng bảo vệ cho mô hình làm việc từ xa và môi trường đám mây.</w:t>
      </w:r>
    </w:p>
    <w:p>
      <w:pPr>
        <w:pStyle w:val="ListBullet"/>
      </w:pPr>
      <w:r>
        <w:t>Tăng cường kiểm soát quyền đặc quyền thông qua MFA, quyền hạn giới hạn và chính sách theo phiên.</w:t>
      </w:r>
    </w:p>
    <w:p>
      <w:pPr>
        <w:pStyle w:val="ListBullet"/>
      </w:pPr>
      <w:r>
        <w:t>Cải thiện khả năng quan sát khi các quyết định truy cập và dữ liệu bảo mật được ghi nhận tập trung.</w:t>
      </w:r>
    </w:p>
    <w:p>
      <w:pPr>
        <w:pStyle w:val="ListBullet"/>
      </w:pPr>
      <w:r>
        <w:t>Tạo chính sách bảo mật nhất quán giữa môi trường tại chỗ, đám mây và mô hình hybrid.</w:t>
      </w:r>
    </w:p>
    <w:p>
      <w:pPr>
        <w:pStyle w:val="Heading1"/>
      </w:pPr>
      <w:r>
        <w:t>7. Thách thức và hạn chế</w:t>
      </w:r>
    </w:p>
    <w:p>
      <w:r>
        <w:t>Việc áp dụng Zero Trust có thể gặp khó khăn về cả kỹ thuật lẫn tổ chức. Các ứng dụng cũ có thể không hỗ trợ giao thức danh tính hiện đại; danh mục tài sản không đầy đủ có thể tạo ra khoảng trống chính sách; các quy tắc quá nghiêm ngặt có thể làm gián đoạn công việc hợp pháp. Ngoài ra, doanh nghiệp có thể phải chịu chi phí tích hợp giữa các hệ thống danh tính, thiết bị đầu cuối, mạng, đám mây và giám sát từ nhiều nhà cung cấp.</w:t>
      </w:r>
    </w:p>
    <w:p>
      <w:r>
        <w:t>Zero Trust cũng không thay thế các biện pháp khác như phát triển phần mềm an toàn, sao lưu dữ liệu, quản lý lỗ hổng, ứng phó sự cố và nâng cao nhận thức người dùng. Đây là một cách tiếp cận kiến trúc bổ trợ cho các biện pháp bảo mật khác.</w:t>
      </w:r>
    </w:p>
    <w:p>
      <w:pPr>
        <w:pStyle w:val="Heading1"/>
      </w:pPr>
      <w:r>
        <w:t>8. Khung đánh giá</w:t>
      </w:r>
    </w:p>
    <w:p>
      <w:r>
        <w:t>Tiến độ triển khai có thể được đo bằng các chỉ số như tỷ lệ tài khoản sử dụng MFA, tỷ lệ thiết bị đáp ứng chính sách, số lượng tài khoản đặc quyền, tỷ lệ ứng dụng quan trọng được bảo vệ bởi chính sách truy cập rõ ràng và thời gian cần thiết để thu hồi quyền truy cập.</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sz w:val="21"/>
              </w:rPr>
              <w:t>Chỉ số</w:t>
            </w:r>
          </w:p>
        </w:tc>
        <w:tc>
          <w:tcPr>
            <w:tcW w:type="dxa" w:w="3120"/>
          </w:tcPr>
          <w:p>
            <w:r>
              <w:rPr>
                <w:rFonts w:ascii="Times New Roman" w:hAnsi="Times New Roman"/>
                <w:sz w:val="21"/>
              </w:rPr>
              <w:t>Xu hướng mong muốn</w:t>
            </w:r>
          </w:p>
        </w:tc>
        <w:tc>
          <w:tcPr>
            <w:tcW w:type="dxa" w:w="3120"/>
          </w:tcPr>
          <w:p>
            <w:r>
              <w:rPr>
                <w:rFonts w:ascii="Times New Roman" w:hAnsi="Times New Roman"/>
                <w:sz w:val="21"/>
              </w:rPr>
              <w:t>Ý nghĩa bảo mật</w:t>
            </w:r>
          </w:p>
        </w:tc>
      </w:tr>
      <w:tr>
        <w:tc>
          <w:tcPr>
            <w:tcW w:type="dxa" w:w="3120"/>
          </w:tcPr>
          <w:p>
            <w:r>
              <w:rPr>
                <w:rFonts w:ascii="Times New Roman" w:hAnsi="Times New Roman"/>
                <w:sz w:val="21"/>
              </w:rPr>
              <w:t>Tỷ lệ sử dụng MFA</w:t>
            </w:r>
          </w:p>
        </w:tc>
        <w:tc>
          <w:tcPr>
            <w:tcW w:type="dxa" w:w="3120"/>
          </w:tcPr>
          <w:p>
            <w:r>
              <w:rPr>
                <w:rFonts w:ascii="Times New Roman" w:hAnsi="Times New Roman"/>
                <w:sz w:val="21"/>
              </w:rPr>
              <w:t>Tăng</w:t>
            </w:r>
          </w:p>
        </w:tc>
        <w:tc>
          <w:tcPr>
            <w:tcW w:type="dxa" w:w="3120"/>
          </w:tcPr>
          <w:p>
            <w:r>
              <w:rPr>
                <w:rFonts w:ascii="Times New Roman" w:hAnsi="Times New Roman"/>
                <w:sz w:val="21"/>
              </w:rPr>
              <w:t>Giảm phụ thuộc vào mật khẩu</w:t>
            </w:r>
          </w:p>
        </w:tc>
      </w:tr>
      <w:tr>
        <w:tc>
          <w:tcPr>
            <w:tcW w:type="dxa" w:w="3120"/>
          </w:tcPr>
          <w:p>
            <w:r>
              <w:rPr>
                <w:rFonts w:ascii="Times New Roman" w:hAnsi="Times New Roman"/>
                <w:sz w:val="21"/>
              </w:rPr>
              <w:t>Truy cập từ thiết bị không quản lý</w:t>
            </w:r>
          </w:p>
        </w:tc>
        <w:tc>
          <w:tcPr>
            <w:tcW w:type="dxa" w:w="3120"/>
          </w:tcPr>
          <w:p>
            <w:r>
              <w:rPr>
                <w:rFonts w:ascii="Times New Roman" w:hAnsi="Times New Roman"/>
                <w:sz w:val="21"/>
              </w:rPr>
              <w:t>Giảm</w:t>
            </w:r>
          </w:p>
        </w:tc>
        <w:tc>
          <w:tcPr>
            <w:tcW w:type="dxa" w:w="3120"/>
          </w:tcPr>
          <w:p>
            <w:r>
              <w:rPr>
                <w:rFonts w:ascii="Times New Roman" w:hAnsi="Times New Roman"/>
                <w:sz w:val="21"/>
              </w:rPr>
              <w:t>Giảm rủi ro từ thiết bị không xác định</w:t>
            </w:r>
          </w:p>
        </w:tc>
      </w:tr>
      <w:tr>
        <w:tc>
          <w:tcPr>
            <w:tcW w:type="dxa" w:w="3120"/>
          </w:tcPr>
          <w:p>
            <w:r>
              <w:rPr>
                <w:rFonts w:ascii="Times New Roman" w:hAnsi="Times New Roman"/>
                <w:sz w:val="21"/>
              </w:rPr>
              <w:t>Quyền đặc quyền thường trực</w:t>
            </w:r>
          </w:p>
        </w:tc>
        <w:tc>
          <w:tcPr>
            <w:tcW w:type="dxa" w:w="3120"/>
          </w:tcPr>
          <w:p>
            <w:r>
              <w:rPr>
                <w:rFonts w:ascii="Times New Roman" w:hAnsi="Times New Roman"/>
                <w:sz w:val="21"/>
              </w:rPr>
              <w:t>Giảm</w:t>
            </w:r>
          </w:p>
        </w:tc>
        <w:tc>
          <w:tcPr>
            <w:tcW w:type="dxa" w:w="3120"/>
          </w:tcPr>
          <w:p>
            <w:r>
              <w:rPr>
                <w:rFonts w:ascii="Times New Roman" w:hAnsi="Times New Roman"/>
                <w:sz w:val="21"/>
              </w:rPr>
              <w:t>Giới hạn quyền có tác động cao</w:t>
            </w:r>
          </w:p>
        </w:tc>
      </w:tr>
      <w:tr>
        <w:tc>
          <w:tcPr>
            <w:tcW w:type="dxa" w:w="3120"/>
          </w:tcPr>
          <w:p>
            <w:r>
              <w:rPr>
                <w:rFonts w:ascii="Times New Roman" w:hAnsi="Times New Roman"/>
                <w:sz w:val="21"/>
              </w:rPr>
              <w:t>Ứng dụng quan trọng có chính sách rõ ràng</w:t>
            </w:r>
          </w:p>
        </w:tc>
        <w:tc>
          <w:tcPr>
            <w:tcW w:type="dxa" w:w="3120"/>
          </w:tcPr>
          <w:p>
            <w:r>
              <w:rPr>
                <w:rFonts w:ascii="Times New Roman" w:hAnsi="Times New Roman"/>
                <w:sz w:val="21"/>
              </w:rPr>
              <w:t>Tăng</w:t>
            </w:r>
          </w:p>
        </w:tc>
        <w:tc>
          <w:tcPr>
            <w:tcW w:type="dxa" w:w="3120"/>
          </w:tcPr>
          <w:p>
            <w:r>
              <w:rPr>
                <w:rFonts w:ascii="Times New Roman" w:hAnsi="Times New Roman"/>
                <w:sz w:val="21"/>
              </w:rPr>
              <w:t>Mở rộng phạm vi kiểm soát</w:t>
            </w:r>
          </w:p>
        </w:tc>
      </w:tr>
      <w:tr>
        <w:tc>
          <w:tcPr>
            <w:tcW w:type="dxa" w:w="3120"/>
          </w:tcPr>
          <w:p>
            <w:r>
              <w:rPr>
                <w:rFonts w:ascii="Times New Roman" w:hAnsi="Times New Roman"/>
                <w:sz w:val="21"/>
              </w:rPr>
              <w:t>Thời gian thu hồi quyền truy cập</w:t>
            </w:r>
          </w:p>
        </w:tc>
        <w:tc>
          <w:tcPr>
            <w:tcW w:type="dxa" w:w="3120"/>
          </w:tcPr>
          <w:p>
            <w:r>
              <w:rPr>
                <w:rFonts w:ascii="Times New Roman" w:hAnsi="Times New Roman"/>
                <w:sz w:val="21"/>
              </w:rPr>
              <w:t>Giảm</w:t>
            </w:r>
          </w:p>
        </w:tc>
        <w:tc>
          <w:tcPr>
            <w:tcW w:type="dxa" w:w="3120"/>
          </w:tcPr>
          <w:p>
            <w:r>
              <w:rPr>
                <w:rFonts w:ascii="Times New Roman" w:hAnsi="Times New Roman"/>
                <w:sz w:val="21"/>
              </w:rPr>
              <w:t>Giảm thời gian phơi nhiễm rủi ro</w:t>
            </w:r>
          </w:p>
        </w:tc>
      </w:tr>
    </w:tbl>
    <w:p>
      <w:pPr>
        <w:pStyle w:val="Heading1"/>
      </w:pPr>
      <w:r>
        <w:t>9. Thảo luận</w:t>
      </w:r>
    </w:p>
    <w:p>
      <w:r>
        <w:t>Giá trị quan trọng nhất của Zero Trust nằm ở sự thay đổi mô hình ra quyết định bảo mật. Khả năng kết nối mạng chỉ còn là một tín hiệu thay vì bằng chứng về tính hợp lệ. Điều này đặc biệt phù hợp với doanh nghiệp sử dụng đám mây và làm việc từ xa, nơi không còn tồn tại một vành đai mạng duy nhất. Tuy nhiên, kiến trúc phụ thuộc mạnh vào độ chính xác của dữ liệu danh tính, thiết bị và tài nguyên.</w:t>
      </w:r>
    </w:p>
    <w:p>
      <w:r>
        <w:t>Triển khai theo từng giai đoạn thường phù hợp hơn việc thiết kế lại toàn bộ hệ thống cùng lúc. Doanh nghiệp có thể bắt đầu từ một trường hợp có giá trị cao như bảo vệ quyền quản trị, sau đó mở rộng các nguyên tắc Zero Trust tới ứng dụng quan trọng, thiết bị, workload và dữ liệu.</w:t>
      </w:r>
    </w:p>
    <w:p>
      <w:pPr>
        <w:pStyle w:val="Heading1"/>
      </w:pPr>
      <w:r>
        <w:t>10. Kết luận</w:t>
      </w:r>
    </w:p>
    <w:p>
      <w:r>
        <w:t>Kiến trúc Zero Trust là một giải pháp phù hợp trước sự suy giảm hiệu quả của mô hình tin cậy dựa trên vành đai trong môi trường doanh nghiệp hiện đại. Các nguyên tắc xác minh rõ ràng, đặc quyền tối thiểu, đánh giá liên tục, bảo vệ tài nguyên và giả định hệ thống có thể bị xâm nhập giúp giảm hậu quả của việc đánh cắp thông tin đăng nhập hoặc chiếm quyền thiết bị. Thành công của Zero Trust không chỉ phụ thuộc vào việc mua một sản phẩm bảo mật mà đòi hỏi sự phối hợp giữa quản lý danh tính, thiết bị, mạng, ứng dụng, giám sát và quản trị tổ chức.</w:t>
      </w:r>
    </w:p>
    <w:p>
      <w:pPr>
        <w:pStyle w:val="Heading1"/>
      </w:pPr>
      <w:r>
        <w:t>Tài liệu tham khảo</w:t>
      </w:r>
    </w:p>
    <w:p>
      <w:r>
        <w:t>National Institute of Standards and Technology (NIST). (2020). Zero Trust Architecture. NIST Special Publication 800-207.</w:t>
      </w:r>
    </w:p>
    <w:p>
      <w:r>
        <w:t>Cybersecurity and Infrastructure Security Agency (CISA). (2023). Zero Trust Maturity Model, Version 2.0.</w:t>
      </w:r>
    </w:p>
    <w:p>
      <w:r>
        <w:t>National Cyber Security Centre (NCSC). Zero Trust Architecture Design Principles.</w:t>
      </w:r>
    </w:p>
    <w:p>
      <w:r>
        <w:t>Rose, S., Borchert, O., Mitchell, S., &amp; Connelly, S. Zero Trust Architecture. NIST SP 800-207.</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Kiến trúc Zero Trust cho mạng doanh nghiệp hiện đại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TÀI LIỆU NGHIÊN CỨU | AN NINH MẠNG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