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2"/>
        </w:rPr>
        <w:t>財務績效證據報告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rPr>
          <w:sz w:val="22"/>
        </w:rPr>
        <w:t>文件編號：TTQS-0142｜版本：1.0｜狀態：示範文件／未生效｜修訂日期：2026-10-03｜生效日期：未生效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目前結論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可用來源未含組織財報或收入明細原件；組織實際趨勢為「未判定」。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官方要求來源基礎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官方勾選原文：組織近三年營業額持續成長。</w:t>
              <w:br/>
              <w:t>來源：TTQS查核佐證文件資料表（訓練機構版），第9頁。以上為要求原文引用，不代表已取得或核實組織財務原件。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本件只處理上述營業額趨勢核對。合成案例示範完整欄位、計算與判讀；正式實績須以組織可核對的財務原件替換後重算。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核對範圍是三個連續且已完成結帳的年度。本文中的「營業額」須對應到組織正式財務資料內可跨年度比較的營業收入科目；在實際替換前，由具權限的財務資料保管者確認科目對照。不得把問卷、顧客滿意度或其他要求的資料當作營業額證據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keepNext/>
      </w:pPr>
      <w:r>
        <w:rPr>
          <w:sz w:val="22"/>
        </w:rPr>
        <w:t>表5　完整三年度營業額與收入示例｜示例資料集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keepNext/>
      </w:pPr>
      <w:r>
        <w:rPr>
          <w:sz w:val="22"/>
        </w:rPr>
        <w:t>表6　示例資料位置與覆核欄位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120"/>
        <w:gridCol w:w="172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核對項目</w:t>
            </w:r>
          </w:p>
        </w:tc>
        <w:tc>
          <w:tcPr>
            <w:tcW w:type="dxa" w:w="61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逐步算式</w:t>
            </w:r>
          </w:p>
        </w:tc>
        <w:tc>
          <w:tcPr>
            <w:tcW w:type="dxa" w:w="17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2024營業額年增率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(1,320,000 - 1,200,000)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2025營業額年增率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(1,452,000 - 1,320,000) ÷ 1,320,000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三年營業額累計變動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+21.0%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三年總收入累計變動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(1,752,000 - 1,480,000) ÷ 1,480,000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+18.4%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示例判定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在本組合成數值中，2024及2025營業額均高於前一年；三年營業額累計增加21.0%。按本文的逐年正增幅核對方法，算例符合持續成長的計算條件。此結論只描述示例，不能移作組織實績或外部財務證明。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888"/>
        <w:gridCol w:w="3528"/>
      </w:tblGrid>
      <w:tr>
        <w:trPr>
          <w:tblHeader w:val="true"/>
        </w:trPr>
        <w:tc>
          <w:tcPr>
            <w:tcW w:type="dxa" w:w="266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問題／目前狀態</w:t>
            </w:r>
          </w:p>
        </w:tc>
        <w:tc>
          <w:tcPr>
            <w:tcW w:type="dxa" w:w="38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修正或後續處理</w:t>
            </w:r>
          </w:p>
        </w:tc>
        <w:tc>
          <w:tcPr>
            <w:tcW w:type="dxa" w:w="35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覆核與追蹤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未附組織財務原件；組織實績維持「未判定」。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取得最近三個完整會計年度正式財報及可勾稽的收入明細；按正式科目與單位替換本報告示例數值及示例位置。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第二位具權限人員調閱原件，重算期間、分類、總額與每段年增率。保留取得日期、原件定位、差異及修正版本；原件取得前不得採用示例結論。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keepNext/>
      </w:pPr>
      <w:r>
        <w:rPr>
          <w:sz w:val="22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官方原文及欄位對應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：「組織近三年營業額持續成長。」直接對應欄位：年度／期末日、營業額、年增率、來源定位及覆核欄位。示例證據位置為第4節表5第2至4列（年度、期末日、營業額及年增率）與表6第2至4列（示例位置、覆核結果），均屬「示例資料集 A」合成示例。組織正式財報、收入明細／總帳原件及真實附件未提供；不得以示例位置代替真實檔名、頁碼或附件定位。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資料、公式與結論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第3節欄位定義、第4節表5至表8完整示例及逐步算式；組織實績仍待真實原件替換後判定。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例外與真實替換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第5節列明目前缺證及追蹤；第6節列明取得原件後的完成條件。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sz w:val="22"/>
        </w:rPr>
        <w:t>相鄰要求辨別：顧客滿意度趨勢須依問卷及滿意度分析資料另行核對，不由本報告的金額表取代；其他要求的事實或佐證也不由本件承接。</w:t>
      </w:r>
    </w:p>
    <w:p>
      <w:pPr>
        <w:keepNext w:val="0"/>
        <w:widowControl/>
        <w:spacing w:before="0" w:after="0" w:line="259" w:lineRule="auto"/>
      </w:pPr>
      <w:r>
        <w:rPr>
          <w:sz w:val="22"/>
        </w:rP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及表6。版本：1.0（示範文件，未生效）；修訂日期及生效狀態依首頁文件控制資訊，不代表財務資料日期、覆核或核准日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組織近三年營業額與收入趨勢核對報告</dc:title>
  <dc:subject>近三年營業額、收入及來源定位核對</dc:subject>
  <dc:creator/>
  <cp:keywords/>
  <dc:description/>
  <cp:lastModifiedBy/>
  <cp:revision>1</cp:revision>
  <dcterms:created xsi:type="dcterms:W3CDTF">2026-10-03T01:31:23Z</dcterms:created>
  <dcterms:modified xsi:type="dcterms:W3CDTF">2026-10-03T20:31:05Z</dcterms:modified>
  <cp:category/>
</cp:coreProperties>
</file>