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rFonts w:ascii="Microsoft JhengHei" w:hAnsi="Microsoft JhengHei" w:eastAsia="Microsoft JhengHei"/>
          <w:b/>
          <w:color w:val="183B63"/>
          <w:sz w:val="38"/>
        </w:rPr>
        <w:t>訓練規劃與客戶課程績效目標證明資料</w:t>
      </w:r>
    </w:p>
    <w:p>
      <w:pPr>
        <w:spacing w:after="60"/>
      </w:pPr>
      <w:r>
        <w:rPr>
          <w:rFonts w:ascii="Microsoft JhengHei" w:hAnsi="Microsoft JhengHei" w:eastAsia="Microsoft JhengHei"/>
          <w:i/>
          <w:color w:val="566575"/>
          <w:sz w:val="17"/>
        </w:rPr>
        <w:t>填寫入口：先看本文件快速閱讀，再依後段「操作工具補充」完成專屬表單、判斷與追蹤。</w:t>
      </w:r>
    </w:p>
    <w:p>
      <w:pPr>
        <w:spacing w:after="100"/>
      </w:pPr>
      <w:r>
        <w:rPr>
          <w:rFonts w:ascii="Microsoft JhengHei" w:hAnsi="Microsoft JhengHei" w:eastAsia="Microsoft JhengHei"/>
          <w:b w:val="0"/>
          <w:color w:val="245A81"/>
          <w:sz w:val="20"/>
        </w:rPr>
        <w:t>課程目標設定、指標與成果追蹤工作表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  <w:tblHeader w:val="true"/>
        </w:trPr>
        <w:tc>
          <w:tcPr>
            <w:tcW w:type="dxa" w:w="10009"/>
            <w:vAlign w:val="center"/>
            <w:shd w:fill="FFF2CC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9"/>
              </w:rPr>
              <w:t>工作稿｜待實際資料或核定。本文件內容供協會整理與修訂；未經核定、未實際執行或未取得原始證明的事項，不得作為既成事實。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  <w:tblHeader w:val="true"/>
        </w:trPr>
        <w:tc>
          <w:tcPr>
            <w:tcW w:type="dxa" w:w="5004"/>
            <w:vAlign w:val="center"/>
            <w:shd w:fill="DCEAF5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這份文件要證明什麼</w:t>
            </w:r>
          </w:p>
        </w:tc>
        <w:tc>
          <w:tcPr>
            <w:tcW w:type="dxa" w:w="5004"/>
            <w:vAlign w:val="center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訓練規劃及達到客戶課程績效目標的證明資料。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怎麼使用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先記錄客戶需求與核定目標，再用實際出勤、評量、回饋及追蹤證據比較。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評核委員先看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先看需求對照表、目標設定卡、成果表及來源欄。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已確認的真實資料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已確認：協會名稱；健康教育與傳統整復推拿技術為核心；並保留依實際市場需求發展多元課程的空間。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尚待補入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實際客戶需求、契約或核定方案、目標值、課程執行、評量結果及客戶確認。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一、證據鏈與使用原則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  <w:tblHeader w:val="true"/>
        </w:trPr>
        <w:tc>
          <w:tcPr>
            <w:tcW w:type="dxa" w:w="10009"/>
            <w:vAlign w:val="center"/>
            <w:shd w:fill="FFF2CC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9"/>
              </w:rPr>
              <w:t>客戶需求 → 可衡量課程目標 → 教學與評量設計 → 實際執行紀錄 → 目標與結果比較 → 客戶確認與改善。缺少任一段時，記錄缺口，不推定已達成。</w:t>
            </w:r>
          </w:p>
        </w:tc>
      </w:tr>
    </w:tbl>
    <w:p>
      <w:pPr>
        <w:spacing w:after="20"/>
      </w:pP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課程績效目標應在課程實施前，依真實客戶需求、協會核定方向及可取得的基準設定。目標值、樣本、期間與計算規則不得在成果發生後倒填。</w:t>
      </w:r>
    </w:p>
    <w:p>
      <w:pPr>
        <w:pStyle w:val="Heading1"/>
        <w:keepNext/>
        <w:keepLines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二、需求－課程－目標對照表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  <w:cantSplit/>
        </w:trPr>
        <w:tc>
          <w:tcPr>
            <w:tcW w:type="dxa" w:w="2502"/>
            <w:vAlign w:val="center"/>
            <w:shd w:fill="183B63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客戶需求／原始來源</w:t>
            </w:r>
          </w:p>
        </w:tc>
        <w:tc>
          <w:tcPr>
            <w:tcW w:type="dxa" w:w="2502"/>
            <w:vAlign w:val="center"/>
            <w:shd w:fill="183B63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課程及學習目標</w:t>
            </w:r>
          </w:p>
        </w:tc>
        <w:tc>
          <w:tcPr>
            <w:tcW w:type="dxa" w:w="2502"/>
            <w:vAlign w:val="center"/>
            <w:shd w:fill="183B63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績效目標／期間</w:t>
            </w:r>
          </w:p>
        </w:tc>
        <w:tc>
          <w:tcPr>
            <w:tcW w:type="dxa" w:w="2502"/>
            <w:vAlign w:val="center"/>
            <w:shd w:fill="183B63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驗證方法及責任人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[待補：需求單／契約／會議紀錄]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[待補：課程目標]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[待核定：目標值與基準]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[待核定：資料、期間、責任人]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三、績效目標定義卡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 w:val="true"/>
          <w:cantSplit/>
        </w:trPr>
        <w:tc>
          <w:tcPr>
            <w:tcW w:type="dxa" w:w="5004"/>
            <w:vAlign w:val="center"/>
            <w:shd w:fill="183B63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5004"/>
            <w:vAlign w:val="center"/>
            <w:shd w:fill="183B63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填寫規則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目標名稱與目的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[說明要證明的學習或客戶服務目標]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計算口徑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[分子、分母、納入與排除條件]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基準與目標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[引用歷史基準或客戶約定；未取得時標示待補]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資料來源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[簽到、評量、作品、問卷、追蹤或客戶回覆的具體原件]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蒐集及複核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[何時、由誰蒐集、由誰複核；人員待指派]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限制與資料保護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[有效樣本、未回覆、個資、授權及保存方式]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四、實際結果比較表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  <w:cantSplit/>
        </w:trPr>
        <w:tc>
          <w:tcPr>
            <w:tcW w:type="dxa" w:w="2002"/>
            <w:vAlign w:val="center"/>
            <w:shd w:fill="183B63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目標／期間</w:t>
            </w:r>
          </w:p>
        </w:tc>
        <w:tc>
          <w:tcPr>
            <w:tcW w:type="dxa" w:w="2002"/>
            <w:vAlign w:val="center"/>
            <w:shd w:fill="183B63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目標值／基準</w:t>
            </w:r>
          </w:p>
        </w:tc>
        <w:tc>
          <w:tcPr>
            <w:tcW w:type="dxa" w:w="2002"/>
            <w:vAlign w:val="center"/>
            <w:shd w:fill="183B63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實際值／樣本數</w:t>
            </w:r>
          </w:p>
        </w:tc>
        <w:tc>
          <w:tcPr>
            <w:tcW w:type="dxa" w:w="2002"/>
            <w:vAlign w:val="center"/>
            <w:shd w:fill="183B63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差異與來源</w:t>
            </w:r>
          </w:p>
        </w:tc>
        <w:tc>
          <w:tcPr>
            <w:tcW w:type="dxa" w:w="2002"/>
            <w:vAlign w:val="center"/>
            <w:shd w:fill="183B63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複核／改善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[課程核定後填]</w:t>
            </w:r>
          </w:p>
        </w:tc>
        <w:tc>
          <w:tcPr>
            <w:tcW w:type="dxa" w:w="20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[實施後填]</w:t>
            </w:r>
          </w:p>
        </w:tc>
        <w:tc>
          <w:tcPr>
            <w:tcW w:type="dxa" w:w="20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[附資料位置及限制]</w:t>
            </w:r>
          </w:p>
        </w:tc>
        <w:tc>
          <w:tcPr>
            <w:tcW w:type="dxa" w:w="20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[待實際檢討]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[課程核定後填]</w:t>
            </w:r>
          </w:p>
        </w:tc>
        <w:tc>
          <w:tcPr>
            <w:tcW w:type="dxa" w:w="20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[實施後填]</w:t>
            </w:r>
          </w:p>
        </w:tc>
        <w:tc>
          <w:tcPr>
            <w:tcW w:type="dxa" w:w="20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[附資料位置及限制]</w:t>
            </w:r>
          </w:p>
        </w:tc>
        <w:tc>
          <w:tcPr>
            <w:tcW w:type="dxa" w:w="20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[待實際檢討]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五、建議整理的原始證據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課程需求單、客戶確認或具日期的需求訪談紀錄。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核定課程方案及績效目標設定版本。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出勤、教學日誌、評量規準及原始評量資料。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課後回饋、學習移轉追蹤及客戶回覆；依實際同意與授權保存。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目標與結果比較、差異原因、改善決定及後續驗證。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目前沒有實際客戶課程、目標值或成果資料可填入。此表先提供完整記錄結構；正式績效證明須在取得原始資料後逐項完成。</w:t>
      </w:r>
    </w:p>
    <w:p>
      <w:pPr>
        <w:pStyle w:val="Heading1"/>
        <w:keepNext/>
        <w:keepLines/>
      </w:pPr>
      <w:r>
        <w:t>操作工具補充｜客戶課程目標與證據閉環</w:t>
      </w:r>
    </w:p>
    <w:p>
      <w:pPr>
        <w:keepLines/>
        <w:spacing w:before="40" w:after="80"/>
      </w:pPr>
      <w:r>
        <w:rPr>
          <w:rFonts w:ascii="Microsoft JhengHei" w:hAnsi="Microsoft JhengHei" w:eastAsia="Microsoft JhengHei"/>
          <w:b w:val="0"/>
          <w:i w:val="0"/>
          <w:sz w:val="18"/>
        </w:rPr>
        <w:t>每個目標在開課前定義口徑。依客戶或核定方案使用的指標種類不同，目標達成公式也可能不同；不可在結果出來後改分母、期間或判定方向。以下工具不填任何虛構課程或成果。</w:t>
      </w:r>
    </w:p>
    <w:p>
      <w:pPr>
        <w:pStyle w:val="Heading2"/>
        <w:keepNext/>
        <w:keepLines/>
      </w:pPr>
      <w:r>
        <w:t>1. 需求至證據追溯表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cantSplit/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追溯ID／需求來源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需求與課程目標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單元／評量方式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結果指標與事前口徑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原始證據位置／複核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[待填來源及日期]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[逐項寫需求；連結目標]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[課程單元、評量及判準]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[分子／分母／期間／方向]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[檔名、頁次、欄位、覆核]</w:t>
            </w:r>
          </w:p>
        </w:tc>
      </w:tr>
      <w:tr>
        <w:trPr>
          <w:cantSplit/>
        </w:trPr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[待核定]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</w:tr>
    </w:tbl>
    <w:p>
      <w:pPr>
        <w:pStyle w:val="Heading2"/>
        <w:keepNext/>
        <w:keepLines/>
        <w:pageBreakBefore/>
      </w:pPr>
      <w:r>
        <w:t>2. 指標定義與結果比較卡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cantSplit/>
          <w:tblHeader w:val="true"/>
        </w:trPr>
        <w:tc>
          <w:tcPr>
            <w:tcW w:type="dxa" w:w="3336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欄位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填寫規則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本案填寫／來源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指標名稱／用途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一個指標只對應一項可判讀的課程或客戶目標。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對象、母體與分母</w:t>
            </w:r>
          </w:p>
        </w:tc>
        <w:tc>
          <w:tcPr>
            <w:tcW w:type="dxa" w:w="3336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明列適格母體、排除條件、未回覆及有效樣本；避免只報分子。</w:t>
            </w:r>
          </w:p>
        </w:tc>
        <w:tc>
          <w:tcPr>
            <w:tcW w:type="dxa" w:w="3336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基準、目標、期間與方向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須於實施前有核定或客戶確認依據；標明越高越好／越低越好／區間目標。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[待核定並附依據]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公式及判定規則</w:t>
            </w:r>
          </w:p>
        </w:tc>
        <w:tc>
          <w:tcPr>
            <w:tcW w:type="dxa" w:w="3336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依指標類型事前選定公式；率值列分子／分母，差值列單位與比較期間；零分母或前期為0時不計成百分比，填無法計算並說明。</w:t>
            </w:r>
          </w:p>
        </w:tc>
        <w:tc>
          <w:tcPr>
            <w:tcW w:type="dxa" w:w="3336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[待核定]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結果、限制與差異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填入實際值及原始證據位置；記錄缺值、樣本偏差、非訓練因素與不可比較處。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[實施後填]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改善及下一次驗證</w:t>
            </w:r>
          </w:p>
        </w:tc>
        <w:tc>
          <w:tcPr>
            <w:tcW w:type="dxa" w:w="3336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決策須連到差異原因、責任角色、期限、驗證工具及下次檢查日期。</w:t>
            </w:r>
          </w:p>
        </w:tc>
        <w:tc>
          <w:tcPr>
            <w:tcW w:type="dxa" w:w="3336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[待實際檢討]</w:t>
            </w:r>
          </w:p>
        </w:tc>
      </w:tr>
    </w:tbl>
    <w:p>
      <w:pPr>
        <w:pStyle w:val="Heading2"/>
        <w:keepNext/>
        <w:keepLines/>
      </w:pPr>
      <w:r>
        <w:t>3. 完整率與達成判讀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cantSplit/>
          <w:tblHeader w:val="true"/>
        </w:trPr>
        <w:tc>
          <w:tcPr>
            <w:tcW w:type="dxa" w:w="25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指標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計算方式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使用限制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結果／證據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需求追溯完整率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每筆適用需求均有目標、單元／評量、結果口徑及證據索引的筆數 ÷ 適用需求總筆數 × 100%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某欄不適用須逐筆說明；分母為0時不適用。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[待計算]</w:t>
            </w:r>
          </w:p>
        </w:tc>
      </w:tr>
      <w:tr>
        <w:trPr>
          <w:cantSplit/>
        </w:trPr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客戶目標達成判定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依目標卡事前核定之公式和門檻逐項判定；不得套用單一通用公式。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目標值、方向、期間或來源缺一時，結果標「尚無法判定」。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[實際值／分母／核對者]</w:t>
            </w:r>
          </w:p>
        </w:tc>
      </w:tr>
    </w:tbl>
    <w:p>
      <w:pPr>
        <w:pStyle w:val="Heading2"/>
        <w:keepNext/>
        <w:keepLines/>
        <w:spacing w:before="100" w:after="60"/>
      </w:pPr>
      <w:r>
        <w:rPr>
          <w:rFonts w:ascii="Microsoft JhengHei" w:hAnsi="Microsoft JhengHei" w:eastAsia="Microsoft JhengHei"/>
          <w:b/>
          <w:color w:val="245A81"/>
          <w:sz w:val="23"/>
        </w:rPr>
        <w:t>依據與使用界線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對應查核項目：訓練規劃及達到客戶課程績效目標的證明資料。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來源：TTQS人才發展品質管理系統「查核佐證文件資料表－訓練機構版」，第2頁。本工作稿不是核定文件，也不是實際辦訓、學員、職務、調查、成效、第三方證明或財務成果。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未核定前不作為實際執行紀錄｜第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Microsoft JhengHei" w:hAnsi="Microsoft JhengHei"/>
      <w:color w:val="24364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訓練規劃與客戶課程績效目標證明資料</dc:title>
  <dc:subject>訓練規劃及達到客戶課程績效目標的證明資料。</dc:subject>
  <dc:creator>社團法人屏東縣原始點關懷協會</dc:creator>
  <cp:keywords>TTQS; 工作稿; 待核定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