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課程設計進度流程及訓練規劃書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需求到課程方案的可追溯工作文件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有課程設計進度表、課程規劃流程圖說明、訓練規劃書等佐證資料。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依序完成需求確認、職能差距分析、目標與課程設計、資源檢核、審查、核定及執行紀錄；每一階段以可查證輸出作為進入下一階段的條件。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流程圖、進度表、訓練規劃書欄位與資料升格檢核。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實際課程需求、調查與職能分析、課程名稱與時程、師資／學員條件、教材、場地設備、評量、風險及核定。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一、課程設計流程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流程：需求來源確認 → 職能差距分析 → 學習目標設定 → 課程與評量設計 → 資源及風險檢核 → 利害關係人審查 → 核定版本 → 執行蒐證與檢討。未完成前置資料時，應記錄缺口及暫停條件，不直接排定或宣稱已開課。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36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392"/>
        <w:gridCol w:w="4392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階段輸出／進入條件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需求確認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確認客戶、受訓者或市場資料來源，檢查範圍及品質。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有可回查的需求資料；若尚未調查，列為待辦。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職能分析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把任務拆解為知識、技能、態度及安全／界線要求。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職能差距表含標準來源、現況證據與限制。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目標設定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將預期學習表現寫成可觀察、可評量的目標。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每一目標對應需求、職能及評量方式。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方案設計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安排單元、教學方法、教材、時程及評量。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課程規劃書及設計進度表，版本可追溯。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資源與風險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確認師資、學員條件、場地、設備、資料保護及安全。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資源證明或待補清單、風險控制及責任功能。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 審查與核定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聽取相關功能意見，處理利益關係及未解決事項。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審查紀錄、修訂對照及正式核定資料。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 執行與檢討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僅依核定版本執行，收集實際參與與評量資料。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實際紀錄、成效分析及改善閉環；未執行不得填實績。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二、設計進度表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3672"/>
        <w:gridCol w:w="25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工作階段／預定期間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輸入及預期產出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需求確認／[待排]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[輸入來源及調查結果]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職能與目標／[待排]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[差距分析、目標與評量關聯]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方案編製／[待排]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[單元、方法、教材、時程]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審查修訂／[待排]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[意見、處理、版本差異]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核定與準備／[待排]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[核定資料、師資、場地與資源]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執行與檢討／[待排]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[實際紀錄、評量及改善資料]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三、訓練規劃書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內容及核驗要求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課程名稱、版本及狀態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[待核定；未核定前標示擬議，不對外稱已開辦]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需求依據與目標對象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[附調查／訪談來源、範圍及限制；未取得資料留白]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職能差距與學習目標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[逐項連結任務、標準來源、差距證據及可觀察目標]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課程單元、時程與教學方法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[待設計；時數、日期及單元須經核定]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師資、學員條件及選任方式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[待填真實資格、遴選條件及核驗方式]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教材、場地、設備及資源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[列真實版本、來源、可用性及檢核結果]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評量及成效追蹤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[引用已審議的評量表與指標；實際結果另填]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利益關係、安全風險及異常處理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[列出審查方式、控制措施及責任功能]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核定、變更及附件索引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[核定前留待補；各附件可回查版本與位置]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四、版本核定與升格檢核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需求、職能、目標、單元及評量之間有逐項連結，來源與限制明確。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師資、學員條件、場地、教材、設備、安全及預算等已依實際資料查核。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審查意見已記錄採納、未採納理由與未解事項；未解事項有責任功能及處理條件。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正式核定文件、日期、權責及版次可回查；未核定前保留工作稿狀態。</w:t>
      </w:r>
    </w:p>
    <w:p>
      <w:pPr>
        <w:pStyle w:val="Heading2"/>
      </w:pPr>
      <w:r>
        <w:t>I07-E04 課程設計要求追溯表</w:t>
      </w:r>
    </w:p>
    <w:p>
      <w:pPr>
        <w:spacing w:after="80"/>
      </w:pPr>
      <w:r>
        <w:t>依 I07-E04 要求記錄來源、對應設計欄位、檢核結果及證據位置。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查核要求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設計欄位／判準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結果／待補狀態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證據名稱／位置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需求與職能分析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目標及可觀察成果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單元內容、順序與時程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教法、評量及證據安排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對應查核項目：有課程設計進度表、課程規劃流程圖說明、訓練規劃書等佐證資料。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/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五、課程設計流程判斷門檻與階段交付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箭頭流程是流程概要；下表補上可操作的判定點。條件未達時退回補件、修訂或暫停，不以預排日期當成已完成。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決策節點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檢查輸入／判準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符合時輸出／下一步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未符合時處理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證據／責任功能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需求是否可核驗？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來源、期間、對象、母數與限制完整。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進行職能差距分析。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補資料或停止課程設計。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[來源ID／承辦功能]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能力差距是否連到目標？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任務、標準、現況證據與可觀察目標相連。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設計單元與評量。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重定義任務／目標，不先排課。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[差距表／審查功能]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資源與安全是否具備？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師資、學員條件、教材、場地、設備、個資及風險均有證據。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提交方案審查。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列缺口、控制或暫停條件。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[查核表／責任功能]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審查是否完成且版本核准？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意見、異議、採納及未採納理由均已記錄。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發布核定版及進入準備。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退回修訂；未核定不得對外宣稱。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[會議紀錄／授權功能]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執行資料是否足以回饋？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真實出席、評量、異常及追蹤資料可回查。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分析結果並修訂下一版。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標無法判定及補查事項。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[原始紀錄／品質功能]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里程碑完成判準：每個階段交付物可回查、版本一致、責任與核定清楚，且未解安全或法規問題已關閉或有經核定的停止條件。任何階段未通過，不沿用舊排程假定完成。</w:t>
      </w:r>
    </w:p>
    <w:p>
      <w:pPr>
        <w:pageBreakBefore/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p>
      <w:pPr>
        <w:spacing w:after="80"/>
      </w:pPr>
      <w:r>
        <w:rPr>
          <w:rFonts w:ascii="Microsoft JhengHei" w:hAnsi="Microsoft JhengHei" w:eastAsia="Microsoft JhengHei"/>
        </w:rPr>
        <w:t>目標覆蓋率＝有已核定評量且附可回查證據的目標數 ÷ 全部已核定目標數 × 100%；未核定目標不列入，分母為 0 時標示 N/A。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pStyle w:val="Heading2"/>
      </w:pPr>
      <w:r>
        <w:t>課程單元時程表</w:t>
      </w:r>
    </w:p>
    <w:p>
      <w:pPr>
        <w:spacing w:after="80"/>
      </w:pPr>
      <w:r>
        <w:t>核定前標示待核定；實施後填實際日期、時數與查核資料。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日期／時段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時數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目標與內容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教法／教材／場地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課程設計進度流程及訓練規劃書</dc:title>
  <dc:subject>有課程設計進度表、課程規劃流程圖說明、訓練規劃書等佐證資料。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