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學員及結訓學員意見納入課程規劃流程與紀錄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I11-E04｜指標 11｜草案：待確認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呈現課程規劃依在訓及結訓學員意見訂定並留存完整流程。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從意見來源追溯到分析、採納決定、課程版本與審查證據；目前欄位皆待實際資料。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規劃課程依學員及結訓學員意見訂定訓練課程，且流程有完整紀錄。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一、意見納入課程規劃流程（工作稿）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5328"/>
        <w:gridCol w:w="3442"/>
      </w:tblGrid>
      <w:tr>
        <w:trPr>
          <w:tblHeader w:val="true"/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步驟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作業重點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應保存紀錄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蒐集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分開辨識在訓學員及結訓學員；註明資料期間、方法、同意與匿名方式。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問卷、訪談或交流原件及樣本說明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 整理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保留原意；按主題分類，記錄有效筆數及未回覆／無效資料處理。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彙整表、統計口徑與缺漏說明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 判讀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區分共同需求、個別建議、職能差距及尚待查證事項。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需求分析與限制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 回應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將需求連結到課程目標、單元、教法或評量；未採納者說明理由。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意見—決定—課程版本追溯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 審查保存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依本會核定程序審查、記錄修訂、核定版本、日期及附件位置。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審查／核定紀錄與版本索引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二、學員與結訓學員意見紀錄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1944"/>
        <w:gridCol w:w="2477"/>
        <w:gridCol w:w="1656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來源／期間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原始意見摘要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需求／職能連結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課程回應與理由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附件位置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[待填：保留原意]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[待填：保留原意]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[待填：保留原意]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三、課程規劃追溯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232"/>
        <w:gridCol w:w="2880"/>
        <w:gridCol w:w="2088"/>
        <w:gridCol w:w="1541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意見編號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課程目標／單元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採納狀態與理由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修訂版／審查人</w:t>
            </w:r>
          </w:p>
        </w:tc>
        <w:tc>
          <w:tcPr>
            <w:tcW w:type="dxa" w:w="15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15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15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課程可依健康教育、傳統整復推拿技術及實際市場需求規劃；每一項課程仍須以實際需求資料為依據並完成本會審議核定。</w:t>
      </w:r>
    </w:p>
    <w:p>
      <w:pPr>
        <w:pStyle w:val="Heading1"/>
        <w:keepNext/>
        <w:keepLines/>
        <w:pageBreakBefore/>
      </w:pPr>
      <w:r>
        <w:t>操作工具補充｜學員意見至課程版次追溯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本件只承接在訓與結訓學員意見如何成為課程規劃依據。實際問卷、訪談、回覆與採納決定須有原件；本節是可填工具，不是已發生的意見或修訂紀錄。</w:t>
      </w:r>
    </w:p>
    <w:p>
      <w:pPr>
        <w:pStyle w:val="Heading2"/>
        <w:keepNext/>
        <w:keepLines/>
      </w:pPr>
      <w:r>
        <w:t>1. 意見來源與資料品質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意見ID／對象類別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期間／方式／題目版次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適格母體／已邀請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有效回覆／未回覆／排除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來源位置／同意與去識別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[待填：在訓／結訓]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[待填數及理由]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[檔名、日期、保管位置]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2. 意見—需求—課程修訂追溯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意見ID／原意摘要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需求或能力差距判讀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課程目標／單元／評量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決定與採納／未採納理由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版次／責任／證據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[待填；不改寫成不存在的原話]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[待分析並註明限制]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[待審查]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[待核定版次及索引]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3. 可重算指標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計算方式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零分母／限制處理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有效意見回覆率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有效且符合條件的回覆數 ÷ 適格且已到期的受邀人數 × 100%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分母0為不適用；未回、拒答、聯絡失敗分列。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意見追溯完整率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已記錄來源、需求判讀、課程回應、決定理由、版次及證據的意見筆數 ÷ 已納入判讀的適用意見筆數 × 100%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未決意見另列；分母0為不適用。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決定採納比例（選填）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已採納筆數 ÷ 已作成決定的意見筆數 × 100%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未決不納入；此比例不作為課程品質單獨判定。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</w:tbl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每次課程修訂另保留舊版／新版差異、決策依據、審查者、核定狀態及生效依據；不得倒填或刪除未採納意見。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p>
      <w:pPr>
        <w:pStyle w:val="Heading1"/>
        <w:keepNext/>
        <w:keepLines/>
      </w:pPr>
      <w:r>
        <w:t>I11-E04 需求至成果追溯矩陣</w:t>
      </w:r>
    </w:p>
    <w:p>
      <w:pPr>
        <w:keepLines/>
        <w:spacing w:after="100"/>
      </w:pPr>
      <w:r>
        <w:t>每一筆納入課程規劃的在訓或結訓學員意見，均依序連到需求判讀、課程目標、單元、可核對產出、評量結果與證據位置。未採納或尚未決定的意見也須記錄理由；沒有原始資料時維持待補，不得預填數值。</w:t>
      </w:r>
    </w:p>
    <w:p>
      <w:pPr>
        <w:keepNext/>
        <w:keepLines/>
        <w:spacing w:before="80" w:after="60"/>
      </w:pPr>
      <w:r>
        <w:rPr>
          <w:rFonts w:ascii="Microsoft JhengHei" w:hAnsi="Microsoft JhengHei" w:eastAsia="Microsoft JhengHei"/>
          <w:b/>
          <w:color w:val="1F4E79"/>
          <w:sz w:val="21"/>
        </w:rPr>
        <w:t>需求至成果追溯鏈（示意；第一列由左至右，再由③向下接第二列，第二列由右至左）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cantSplit/>
          <w:cantSplit/>
          <w:tblHeader w:val="true"/>
        </w:trPr>
        <w:tc>
          <w:tcPr>
            <w:tcW w:type="dxa" w:w="2952"/>
            <w:vAlign w:val="center"/>
            <w:shd w:fill="EAF1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① 學員／結訓意見</w:t>
              <w:br/>
              <w:t>原始來源與位置  →</w:t>
            </w:r>
          </w:p>
        </w:tc>
        <w:tc>
          <w:tcPr>
            <w:tcW w:type="dxa" w:w="2952"/>
            <w:vAlign w:val="center"/>
            <w:shd w:fill="EAF1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② 需求／能力差距</w:t>
              <w:br/>
              <w:t>依原意判讀  →</w:t>
            </w:r>
          </w:p>
        </w:tc>
        <w:tc>
          <w:tcPr>
            <w:tcW w:type="dxa" w:w="2952"/>
            <w:vAlign w:val="center"/>
            <w:shd w:fill="EAF1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③ 課程回應</w:t>
              <w:br/>
              <w:t>目標／單元／產出  ↓</w:t>
            </w:r>
          </w:p>
        </w:tc>
      </w:tr>
      <w:tr>
        <w:trPr>
          <w:cantSplit/>
          <w:cantSplit/>
          <w:cantSplit/>
        </w:trPr>
        <w:tc>
          <w:tcPr>
            <w:tcW w:type="dxa" w:w="2952"/>
            <w:vAlign w:val="center"/>
            <w:shd w:fill="F1F5E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⑥ 證據ID／位置</w:t>
              <w:br/>
              <w:t>覆核與版本索引</w:t>
            </w:r>
          </w:p>
        </w:tc>
        <w:tc>
          <w:tcPr>
            <w:tcW w:type="dxa" w:w="2952"/>
            <w:vAlign w:val="center"/>
            <w:shd w:fill="F1F5E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⑤ 決定與修訂</w:t>
              <w:br/>
              <w:t>採納／未採納／核定  ←</w:t>
            </w:r>
          </w:p>
        </w:tc>
        <w:tc>
          <w:tcPr>
            <w:tcW w:type="dxa" w:w="2952"/>
            <w:vAlign w:val="center"/>
            <w:shd w:fill="F1F5E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④ 評量與成果</w:t>
              <w:br/>
              <w:t>結果／差距／限制  ←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意見來源與原始位置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需求／能力判讀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課程目標／單元／產出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評量／結果／差距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決定／修訂版次／責任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證據ID／位置／覆核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[在訓／結訓；期間；問卷或訪談ID]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[依原意整理；母數與限制]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[目標、單元、預期產出]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[評量方法；實際結果待取得]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[採納／未採納理由；版次及責任角色]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[原件、評量、課程版及覆核位置]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[待判讀]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[待填；不得推定成果]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[待審查]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[待判讀]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[待填；不得推定成果]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[待審查]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[待判讀]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[待填；不得推定成果]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[待審查]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</w:tr>
    </w:tbl>
    <w:p>
      <w:pPr>
        <w:pStyle w:val="Heading2"/>
        <w:keepNext/>
        <w:keepLines/>
      </w:pPr>
      <w:r>
        <w:t>追溯完整度與版本決定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檢核項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計算／判定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本期結果與證據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適用需求數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已納入判讀且具有效來源的意見需求數；排除項另列理由。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[待填；附來源清單]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完整追溯鏈數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同一列具來源、需求、目標／單元／產出、評量／結果、決定及證據位置者。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[待填；附逐列覆核]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追溯完整率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完整追溯鏈數 ÷ 適用需求數 × 100%；分母為0時列「不適用／無資料」並說明。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[待算；覆核人與日期待填]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版本決定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採納、未採納、待查證分開列；修訂連結舊版、新版及審查核定依據。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[待填；未核定不得標示已生效]</w:t>
            </w:r>
          </w:p>
        </w:tc>
      </w:tr>
    </w:tbl>
    <w:p>
      <w:pPr>
        <w:keepLines/>
        <w:spacing w:before="60" w:after="120"/>
      </w:pPr>
      <w:r>
        <w:rPr>
          <w:b/>
          <w:color w:val="9C4500"/>
        </w:rPr>
        <w:t>真實性界線：本補充表是可填工具，不代表已取得學員意見、完成課程修訂、核定或產生成果。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