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7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七、個別移轉資料連結與跨文件檢核</w:t>
      </w:r>
    </w:p>
    <w:p>
      <w:pPr>
        <w:keepNext/>
      </w:pPr>
      <w:r>
        <w:t>本表以受控代碼及來源ID連結個人紀錄；個人行動細節由0058保存，持續支持機制由0059保存，成果/學習結果若由17c/17d持有則引用其原件，不重複複製個資。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受控代碼／母體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移轉目標／情境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行動計畫ID、支持者與期限（引0058）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追蹤時點／結果／缺值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17c/17d或其他來源ID／證據位置／覆核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待編；以真實可追蹤母體為準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待引核定目標及可觀察行為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待連結0058紀錄ID；支持及期限待確認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30/60/90/180日依核定時點；待取得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待取得；記缺漏、拒答/失聯及限制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R28 layout root-cause repair; 12 blank coded tracking rows; no association facts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