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t>I14-E05｜指標 14｜工作稿 R07：待確認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pageBreakBefore/>
      </w:pPr>
      <w:r>
        <w:t>二之一、系統化程度逐項盤點</w:t>
      </w:r>
    </w:p>
    <w:p>
      <w:pPr>
        <w:keepNext/>
        <w:spacing w:after="40"/>
      </w:pPr>
      <w:r>
        <w:t>盤點期間：________　資料範圍／母體：________　抽樣規則／樣本數：________　執行／覆核：________</w:t>
      </w:r>
    </w:p>
    <w:p>
      <w:pPr>
        <w:keepNext/>
        <w:spacing w:after="80"/>
      </w:pPr>
      <w:r>
        <w:t>逐列記錄本次證據；評級依前表 0–4 級描述。只能按可查原件選級，未測／未核定要如實標示。制度細節依 0063 受控文件 ID 交叉引用；若尚未核定，不視為現行制度。沒有經審議的加總規則時，只列各面向結果，不平均或自訂權重。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27"/>
        <w:gridCol w:w="1512"/>
        <w:gridCol w:w="362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盤點面向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抽查證據／判讀基準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本次級別／狀態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來源 ID／位置；差距與下一步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資料分類與命名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抽查資料是否依受控類別、命名規則標示；規則版本與例外可追溯。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文件主檔與索引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樣本具唯一 ID、名稱、類別、日期／期間、版次、保管角色與位置；能由索引定位原件。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版本控管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核定、修訂、作廢版可區分；變更、核准及有效版次有可查記錄。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角色權限與個資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讀取、編輯、核准、刪除、匯出權限按角色核定；個資用途、授權及存取紀錄可查。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保存、封存與銷毀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保存依據／年限及到期覆核、封存或銷毀紀錄可查；未核定時標待核定。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檢索與正確版次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按既定條件能找到正確原件及有效版次；成功、失敗與耗時逐筆留存。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備份與復原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備份範圍、日期、位置、責任角色及復原測試結果有紀錄；未測不得稱可復原。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資料品質與更正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必要欄位、來源及版次可核對；缺件、錯版和更正能連回原件與異動紀錄。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分析與運用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結果列明期間、樣本／分母及限制；分析可連結實際決定或改善，不把空值當零。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改善與再驗證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差距有措施、責任、期限、同條件複測及覆核結果；未複測不稱改善有效。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</w:tbl>
    <w:p>
      <w:pPr>
        <w:pStyle w:val="Heading2"/>
        <w:keepNext/>
        <w:keepLines/>
        <w:pageBreakBefore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  <w:pageBreakBefore/>
      </w:pPr>
      <w:r>
        <w:t>補充：結果彙總與改善決策</w:t>
      </w:r>
    </w:p>
    <w:p>
      <w:pPr>
        <w:keepNext/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