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完整的訓練文件建檔資料檢核表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I14-E03｜指標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逐階段檢核訓練文件是否建檔，並提供文件索引、缺件及完整性覆核欄位。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依實際課程／案件逐列勾核；缺件、待取得及不適用均留下原因與追蹤。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完整的訓練文件建檔資料。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一、訓練文件建檔檢核清單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每一訓練班次或訓練案件建立一份索引；沒有形成、未取得或不適用的文件，應分別標示「尚未形成」「待取得」或「不適用（附理由）」，不得以空白推定完成。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4968"/>
        <w:gridCol w:w="2232"/>
        <w:gridCol w:w="1440"/>
      </w:tblGrid>
      <w:tr>
        <w:trPr>
          <w:tblHeader w:val="true"/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應建檔資料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檢核／狀態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文件編號／位置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需求來源、課程計畫、目標、對象、期程及審查／核定資料。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課程設計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課程大綱、教材版本、教學方法、評量方式及修訂紀錄。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師資教材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師資資格查核、遴聘／核定紀錄、教材來源與使用權限。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招生與準備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招生資訊、遴選依據、通知、場地設備及必要安全準備。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訓練執行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實際日期、課程表、出席、授課／行政紀錄及異常處理。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評量回饋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評量工具、原始結果、問卷／意見原件及彙整口徑。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結案檢討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資源與財務原始資料、成果證據、檢討、改善與追蹤。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二、單件文件索引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880"/>
        <w:gridCol w:w="1872"/>
        <w:gridCol w:w="1656"/>
        <w:gridCol w:w="2808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序號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文件名稱／類別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形成日期／版次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原件／副本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保存位置／權限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三、完整性覆核與缺件追蹤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2520"/>
        <w:gridCol w:w="1944"/>
        <w:gridCol w:w="2131"/>
      </w:tblGrid>
      <w:tr>
        <w:trPr>
          <w:tblHeader w:val="true"/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覆核項目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覆核結果／缺漏說明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負責角色／期限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改善後證據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文件與課程／班次可正確對應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原件、版次、日期及核定狀態可辨識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個資權限、保存及調閱位置已核對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缺件、不適用理由與後續追蹤已登錄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664"/>
        <w:gridCol w:w="2635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建檔承辦角色／日期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覆核角色／日期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案件／課程識別</w:t>
            </w:r>
          </w:p>
        </w:tc>
        <w:tc>
          <w:tcPr>
            <w:tcW w:type="dxa" w:w="263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清單版次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63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pStyle w:val="Heading1"/>
        <w:keepNext/>
        <w:keepLines/>
      </w:pPr>
      <w:r>
        <w:t>操作工具補充｜逐班訓練文件建檔清單與缺件追蹤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本件的獨占功能是逐班／逐案文件盤點、定位、完整性覆核與缺件改善。文件分類碼依0060核定版；系統中的新增、權限、版本與備份操作依0061核定版。</w:t>
      </w:r>
    </w:p>
    <w:p>
      <w:pPr>
        <w:pStyle w:val="Heading2"/>
        <w:keepNext/>
        <w:keepLines/>
      </w:pPr>
      <w:r>
        <w:t>1. 逐班／逐案總索引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班次／案件ID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資料階段／必要文件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狀態與不適用理由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文件代碼／實際位置／版次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保管角色／覆核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需求／提案／核定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□待收 □已收 □缺件 □不適用：[理由]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招生／資格／學員告知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□待收 □已收 □缺件 □不適用：[理由]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師資／教材／場地安全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□待收 □已收 □缺件 □不適用：[理由]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出勤／授課／異常／變更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□待收 □已收 □缺件 □不適用：[理由]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評量／回饋／結訓／追蹤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□待收 □已收 □缺件 □不適用：[理由]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改善／複核／封存移交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□待收 □已收 □缺件 □不適用：[理由]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2. 文件狀態與生命周期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階段／狀態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何時可標示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必要證據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下一步／限制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待收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課程／案件已啟動，預期原件尚未收齊。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清單項目及來源／責任角色。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設定追蹤期限；不可寫成已收到。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已收待核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已取得原件或可驗證副本，但尚未完成版本、真實性或完整性覆核。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實際檔名／位置／版次／來源。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交由覆核角色查驗後再分類。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已核可用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原件可讀、版本與證據位置已核、權限適當。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核對人、日期、結果及檔案定位。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按0060分類、0061存放／索引。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缺件／待補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必要項未取得、資料不完整或查無位置。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缺件原因、影響、追蹤角色／期限。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未補前不得以其他文件冒充。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不適用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經權責角色依課程情境判定不需該項。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逐項理由及判定依據／日期。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不得只因目前沒有資料就選不適用。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封存／移交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依核定期限或結案條件完成封存／移交。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移交清單、位置、權限及核對紀錄。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期限與權責依本會核定規則。</w:t>
            </w:r>
          </w:p>
        </w:tc>
      </w:tr>
    </w:tbl>
    <w:p>
      <w:pPr>
        <w:pStyle w:val="Heading2"/>
        <w:keepNext/>
        <w:keepLines/>
        <w:pageBreakBefore/>
      </w:pPr>
      <w:r>
        <w:t>3. 缺件追蹤及檢索完整性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缺件ID／項目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原因／影響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追蹤角色／期限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補件或替代判定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複核與關閉證據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[待填；說明對查核鏈影響]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[待指派／待填]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[不得以無關文件替代；不適用須有理由]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[待補]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10010"/>
            <w:gridSpan w:val="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檢索測試紀錄｜保留可重現查詢與實際耗時；不得預填或推定結果。</w:t>
            </w:r>
          </w:p>
        </w:tc>
      </w:tr>
      <w:tr>
        <w:trPr>
          <w:tblHeader w:val="true"/>
        </w:trPr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測試ID／日期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查詢詞／預期文件、位置及版本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實際結果／失敗原因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耗時（秒）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執行者／覆核者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[待填]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3336"/>
            <w:vAlign w:val="center"/>
            <w:shd w:fill="1F4E78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3336"/>
            <w:vAlign w:val="center"/>
            <w:shd w:fill="1F4E78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公式／操作方法</w:t>
            </w:r>
          </w:p>
        </w:tc>
        <w:tc>
          <w:tcPr>
            <w:tcW w:type="dxa" w:w="3336"/>
            <w:vAlign w:val="center"/>
            <w:shd w:fill="1F4E78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建檔完整率</w:t>
            </w:r>
          </w:p>
        </w:tc>
        <w:tc>
          <w:tcPr>
            <w:tcW w:type="dxa" w:w="3336"/>
            <w:vAlign w:val="center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已核可用文件項數 ÷ 已判定適用文件項數 × 100%</w:t>
            </w:r>
          </w:p>
        </w:tc>
        <w:tc>
          <w:tcPr>
            <w:tcW w:type="dxa" w:w="3336"/>
            <w:vAlign w:val="center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逐項排除需有不適用理由；分母0不適用。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缺件逾期率</w:t>
            </w:r>
          </w:p>
        </w:tc>
        <w:tc>
          <w:tcPr>
            <w:tcW w:type="dxa" w:w="3336"/>
            <w:vAlign w:val="center"/>
            <w:shd w:fill="F2F6FA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已逾期未關閉缺件數 ÷ 到期缺件總數 × 100%</w:t>
            </w:r>
          </w:p>
        </w:tc>
        <w:tc>
          <w:tcPr>
            <w:tcW w:type="dxa" w:w="3336"/>
            <w:vAlign w:val="center"/>
            <w:shd w:fill="F2F6FA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未到期缺件不列分母；說明統計日。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檢索成功率</w:t>
            </w:r>
          </w:p>
        </w:tc>
        <w:tc>
          <w:tcPr>
            <w:tcW w:type="dxa" w:w="3336"/>
            <w:vAlign w:val="center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成功找到正確、可讀、版本及權限適當文件數 ÷ 有效測試件數 × 100%；附本表測試紀錄。</w:t>
            </w:r>
          </w:p>
        </w:tc>
        <w:tc>
          <w:tcPr>
            <w:tcW w:type="dxa" w:w="3336"/>
            <w:vAlign w:val="center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[待實測；n=0時不適用；須列統計期間]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中位檢索秒數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依本表有效測試耗時排序；奇數樣本取中位值，偶數樣本取中間兩值平均。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[待實測；列n與統計期間；n=0時不適用]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P95檢索秒數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耗時升冪排序後取第 ceil(0.95×n) 個值（nearest-rank）；列明測試數n。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[待實測；n=0時不適用]</w:t>
            </w:r>
          </w:p>
        </w:tc>
      </w:tr>
    </w:tbl>
    <w:p>
      <w:pPr>
        <w:spacing w:after="10" w:line="132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