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課後神秘客與外部稽核作業及紀錄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規劃在需要時以獨立觀察檢查課後服務流程，記錄發現並追蹤改善。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先核定目的、範圍、受託方式與隱私界線，再由具獨立性的外部人員執行；未委託或未實施時不得填成查核結果。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先看執行前條件與流程，再看觀察表、缺失分級及改善驗證欄。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目前沒有實際外部委託、神秘客、現場稽核或報告。本稿僅為待核定的機制與空白紀錄。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對應官方查核項目：神秘客實地稽核（外部稽核）課後機制等。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待補原始資料：核定機制、外部人員委託與利益衝突確認、同意及個資安排、實際觀察紀錄、正式報告與改善驗證。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一、執行前條件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確認事項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填寫／核對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目的與查核範圍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[待核定：限於訓練與服務品質流程]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外部人員及獨立性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[待補：實際身分、專業與利益衝突聲明]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課程／場次／觀察時點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[待核定；實際執行後填入]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告知、同意、隱私與資料限制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[待核定：不得蒐集無關身分或健康資料]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委託、費用與核准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[待補：依人類授權及實際核准辦理]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二、作業流程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步驟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必要作法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留下的紀錄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1. 核定計畫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界定問題、範圍、判準、抽樣及停止條件。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核定版計畫及依據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2. 確認獨立人員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核對委託、保密、利益衝突及所需訓練。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委託與獨立性紀錄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3. 安排觀察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依核定方式執行；只記可觀察事實，不誘導違規。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時間、情境及客觀紀錄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4. 分類發現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逐項比對判準；區分符合、觀察事項、缺失與不適用。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證據、判定及理由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5. 提出改善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指定責任角色、期限及必要支持。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改善措施與追蹤紀錄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6. 驗證結案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取得改善證據後再判定；未證實完成不得結案。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驗證結果與結案依據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三、課後觀察紀錄（實際執行後填）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觀察點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判準／來源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客觀事實與證據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判定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改善或後續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課前資訊與報名流程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□符合 □缺失 □不適用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課程內容與教學流程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□符合 □缺失 □不適用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安全、衛生及專業界線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□符合 □缺失 □不適用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學員權益、回饋及申訴管道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□符合 □缺失 □不適用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個資、影像及資料處理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□符合 □缺失 □不適用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四、改善追蹤與查核結論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發現／等級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根因與措施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責任角色／期限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驗證證據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結案判定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□開啟 □已驗證 □未結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□開啟 □已驗證 □未結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缺失結案率＝已有證據且覆核通過的結案件數 ÷ 缺失總件數。缺失總件數為零時，記錄「本次無缺失」，不填百分比。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核定計畫與外部報告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[待補；未執行時註明未執行]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改善措施與驗證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外部執行人／日期：[待補]；承辦回收／日期：[待補]；獨立覆核／日期：[待補]。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課後神秘客與外部稽核作業及紀錄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