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學員訓後雇主問卷與結果分析表</w:t>
      </w:r>
    </w:p>
    <w:p>
      <w:pPr>
        <w:spacing w:after="140"/>
      </w:pPr>
      <w:r>
        <w:rPr>
          <w:rFonts w:ascii="Microsoft JhengHei" w:hAnsi="Microsoft JhengHei" w:eastAsia="Microsoft JhengHei"/>
          <w:b w:val="0"/>
          <w:color w:val="58718A"/>
          <w:sz w:val="19"/>
        </w:rPr>
        <w:t>社團法人屏東縣原始點關懷協會｜工作稿／待核定</w:t>
      </w:r>
    </w:p>
    <w:p>
      <w:pPr>
        <w:spacing w:after="80"/>
      </w:pPr>
      <w:r>
        <w:rPr>
          <w:rFonts w:ascii="Microsoft JhengHei" w:hAnsi="Microsoft JhengHei" w:eastAsia="Microsoft JhengHei"/>
          <w:b/>
          <w:color w:val="9C4A00"/>
          <w:sz w:val="18"/>
        </w:rPr>
        <w:t>請只填實際原始資料；未取得的第三方證明、核准、簽章及成果不得推定，先標示「待補」。</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由學員同意的雇主或主管回覆訓後工作應用觀察，補充成果評估的第三方資料。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確認適用對象及觀察期間；無法觀察的題目選「無法判斷」，不得代答或推測。</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先看填答者資格與同意，再看工作情境、各題回覆及核對證據。</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目前沒有本批訓後學員、雇主或實際問卷回覆。本文件是空白問卷，不是調查結果。</w:t>
            </w:r>
          </w:p>
        </w:tc>
      </w:tr>
    </w:tbl>
    <w:p>
      <w:pPr>
        <w:spacing w:after="0" w:before="0" w:line="20" w:lineRule="exact"/>
      </w:pPr>
    </w:p>
    <w:p>
      <w:pPr>
        <w:keepLines/>
      </w:pPr>
      <w:r>
        <w:rPr>
          <w:rFonts w:ascii="Microsoft JhengHei" w:hAnsi="Microsoft JhengHei" w:eastAsia="Microsoft JhengHei"/>
          <w:b w:val="0"/>
          <w:color w:val="24364B"/>
          <w:sz w:val="22"/>
        </w:rPr>
        <w:t>對應查核項目：學員訓後雇主問卷調查表。</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本件待補：學員追蹤同意、實際雇主／主管回覆、問卷回收紀錄及資料分析。</w:t>
      </w:r>
    </w:p>
    <w:p>
      <w:pPr>
        <w:pStyle w:val="Heading1"/>
        <w:keepNext/>
      </w:pPr>
      <w:r>
        <w:rPr>
          <w:rFonts w:ascii="Microsoft JhengHei" w:hAnsi="Microsoft JhengHei" w:eastAsia="Microsoft JhengHei"/>
          <w:b/>
          <w:color w:val="183B63"/>
          <w:sz w:val="30"/>
        </w:rPr>
        <w:t>一、填答者與觀察範圍</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59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欄位</w:t>
            </w:r>
          </w:p>
        </w:tc>
        <w:tc>
          <w:tcPr>
            <w:tcW w:type="dxa" w:w="74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填寫</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班次／學員代碼</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[待補；使用去識別代碼]</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雇主／主管職務</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[待填；可採單位代碼，避免不必要個資]</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工作關係與觀察期間</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[待補：實際共事期間／任務]</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填答資格</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□直接主管 □雇主 □導師／合作單位 □其他：[待補]</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學員資料使用同意</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□已取得　□待取得；未取得不得聯繫或揭露可識別資料。</w:t>
            </w:r>
          </w:p>
        </w:tc>
      </w:tr>
      <w:tr>
        <w:tc>
          <w:tcPr>
            <w:tcW w:type="dxa" w:w="259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填答日期／方式</w:t>
            </w:r>
          </w:p>
        </w:tc>
        <w:tc>
          <w:tcPr>
            <w:tcW w:type="dxa" w:w="74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[待補；實際填答後記錄]</w:t>
            </w:r>
          </w:p>
        </w:tc>
      </w:tr>
    </w:tbl>
    <w:p>
      <w:pPr>
        <w:spacing w:after="0" w:before="0" w:line="20" w:lineRule="exact"/>
      </w:pPr>
    </w:p>
    <w:p>
      <w:pPr>
        <w:keepLines/>
      </w:pPr>
      <w:r>
        <w:rPr>
          <w:rFonts w:ascii="Microsoft JhengHei" w:hAnsi="Microsoft JhengHei" w:eastAsia="Microsoft JhengHei"/>
          <w:b w:val="0"/>
          <w:color w:val="24364B"/>
          <w:sz w:val="22"/>
        </w:rPr>
        <w:t>作答方式：1＝明顯未符合；2＝部分符合；3＝大致符合；4＝多數情境符合；5＝穩定符合；無法觀察／不適用另勾選，不計入平均。請以實際工作例子說明。</w:t>
      </w:r>
    </w:p>
    <w:p>
      <w:pPr>
        <w:pStyle w:val="Heading1"/>
        <w:keepNext/>
      </w:pPr>
      <w:r>
        <w:rPr>
          <w:rFonts w:ascii="Microsoft JhengHei" w:hAnsi="Microsoft JhengHei" w:eastAsia="Microsoft JhengHei"/>
          <w:b/>
          <w:color w:val="183B63"/>
          <w:sz w:val="30"/>
        </w:rPr>
        <w:t>二、工作應用觀察</w:t>
      </w:r>
    </w:p>
    <w:tbl>
      <w:tblPr>
        <w:tblStyle w:val="TableGrid"/>
        <w:tblW w:type="auto" w:w="0"/>
        <w:jc w:val="center"/>
        <w:tblLayout w:type="fixed"/>
        <w:tblLook w:firstColumn="1" w:firstRow="1" w:lastColumn="0" w:lastRow="0" w:noHBand="0" w:noVBand="1" w:val="04A0"/>
      </w:tblPr>
      <w:tblGrid>
        <w:gridCol w:w="1251"/>
        <w:gridCol w:w="1251"/>
        <w:gridCol w:w="1251"/>
        <w:gridCol w:w="1251"/>
        <w:gridCol w:w="1251"/>
        <w:gridCol w:w="1251"/>
        <w:gridCol w:w="1251"/>
        <w:gridCol w:w="1251"/>
      </w:tblGrid>
      <w:tr>
        <w:trPr>
          <w:tblHeader w:val="true"/>
        </w:trPr>
        <w:tc>
          <w:tcPr>
            <w:tcW w:type="dxa" w:w="309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觀察面向</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1</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2</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3</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4</w:t>
            </w:r>
          </w:p>
        </w:tc>
        <w:tc>
          <w:tcPr>
            <w:tcW w:type="dxa" w:w="547"/>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5</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無法判斷／不適用</w:t>
            </w:r>
          </w:p>
        </w:tc>
        <w:tc>
          <w:tcPr>
            <w:tcW w:type="dxa" w:w="252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具體事實或例子</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工作任務與課程所學相關</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能依工作流程說明或運用所學</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能辨識安全界線並在疑義時停下或求助</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與服務對象溝通、尊重意願與隱私</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工作紀錄或後續處理符合單位要求</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r>
        <w:tc>
          <w:tcPr>
            <w:tcW w:type="dxa" w:w="309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相較觀察基準有可說明的改變</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547"/>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w:t>
            </w:r>
          </w:p>
        </w:tc>
        <w:tc>
          <w:tcPr>
            <w:tcW w:type="dxa" w:w="252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[待填]</w:t>
            </w:r>
          </w:p>
        </w:tc>
      </w:tr>
    </w:tbl>
    <w:p>
      <w:pPr>
        <w:spacing w:after="0" w:before="0" w:line="20" w:lineRule="exact"/>
      </w:pPr>
    </w:p>
    <w:p>
      <w:pPr>
        <w:pStyle w:val="Heading1"/>
        <w:keepNext/>
      </w:pPr>
      <w:r>
        <w:rPr>
          <w:rFonts w:ascii="Microsoft JhengHei" w:hAnsi="Microsoft JhengHei" w:eastAsia="Microsoft JhengHei"/>
          <w:b/>
          <w:color w:val="183B63"/>
          <w:sz w:val="30"/>
        </w:rPr>
        <w:t>三、開放回覆與證據</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88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問題</w:t>
            </w:r>
          </w:p>
        </w:tc>
        <w:tc>
          <w:tcPr>
            <w:tcW w:type="dxa" w:w="71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實際觀察到的工作行為</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[描述日期／情境及可觀察事實；避免健康診斷或推論]</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能力或工作表現差異</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[待補；若無基準或無法判斷請說明]</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其他可能影響因素</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[設備、人力、職務、工作經驗或其他]</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仍需加強的能力</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w:t>
            </w:r>
          </w:p>
        </w:tc>
      </w:tr>
      <w:tr>
        <w:tc>
          <w:tcPr>
            <w:tcW w:type="dxa" w:w="288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可供核對的紀錄</w:t>
            </w:r>
          </w:p>
        </w:tc>
        <w:tc>
          <w:tcPr>
            <w:tcW w:type="dxa" w:w="71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[文件名稱／位置；請勿附未授權個資]</w:t>
            </w:r>
          </w:p>
        </w:tc>
      </w:tr>
    </w:tbl>
    <w:p>
      <w:pPr>
        <w:spacing w:after="0" w:before="0" w:line="20" w:lineRule="exact"/>
      </w:pPr>
    </w:p>
    <w:p>
      <w:pPr>
        <w:pStyle w:val="Heading1"/>
        <w:keepNext/>
      </w:pPr>
      <w:r>
        <w:rPr>
          <w:rFonts w:ascii="Microsoft JhengHei" w:hAnsi="Microsoft JhengHei" w:eastAsia="Microsoft JhengHei"/>
          <w:b/>
          <w:color w:val="183B63"/>
          <w:sz w:val="30"/>
        </w:rPr>
        <w:t>四、回覆使用及承辦核對</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33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欄位</w:t>
            </w:r>
          </w:p>
        </w:tc>
        <w:tc>
          <w:tcPr>
            <w:tcW w:type="dxa" w:w="662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5"/>
              </w:rPr>
              <w:t>填寫</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是否同意去識別摘要作內部分析</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□同意　□不同意　□需另行確認</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聯絡核對方式</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[待補；依填答者同意]</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資料核對結果</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□已核　□待核　□無法核；原因：[待補]</w:t>
            </w:r>
          </w:p>
        </w:tc>
      </w:tr>
      <w:tr>
        <w:tc>
          <w:tcPr>
            <w:tcW w:type="dxa" w:w="33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缺漏／無回覆標記</w:t>
            </w:r>
          </w:p>
        </w:tc>
        <w:tc>
          <w:tcPr>
            <w:tcW w:type="dxa" w:w="662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5"/>
              </w:rPr>
              <w:t>□有效　□部分填答　□無回覆　□撤回</w:t>
            </w:r>
          </w:p>
        </w:tc>
      </w:tr>
    </w:tbl>
    <w:p>
      <w:pPr>
        <w:spacing w:after="0" w:before="0" w:line="20" w:lineRule="exact"/>
      </w:pPr>
    </w:p>
    <w:p>
      <w:pPr>
        <w:pStyle w:val="Heading1"/>
        <w:keepNext/>
        <w:spacing w:before="160" w:after="60"/>
      </w:pPr>
      <w:r>
        <w:t>五、回收統計、結果解讀與改善追蹤</w:t>
      </w:r>
    </w:p>
    <w:p>
      <w:pPr>
        <w:keepLines/>
        <w:spacing w:after="80"/>
      </w:pPr>
      <w:r>
        <w:t>本表目前沒有本批實際雇主或主管回覆；以下欄位須在核對回覆原件後填寫。未回覆、無法判斷、不適用及無效資料分開記數，不得以空白代替零分或推估結果。</w:t>
      </w:r>
    </w:p>
    <w:p>
      <w:pPr>
        <w:keepLines/>
        <w:spacing w:after="80"/>
      </w:pPr>
      <w:r>
        <w:t>計算口徑：回收率＝有效問卷份數÷符合資格且已邀請的雇主／主管數×100%；各題平均分＝該題有效1–5分總和÷該題有效作答數；正向率＝該題4–5分人數÷該題有效作答數。分母與排除理由須同時記錄。</w:t>
      </w:r>
    </w:p>
    <w:tbl>
      <w:tblPr>
        <w:tblStyle w:val="TableGrid"/>
        <w:tblW w:type="auto" w:w="0"/>
        <w:tblLayout w:type="autofit"/>
        <w:tblLook w:firstColumn="1" w:firstRow="1" w:lastColumn="0" w:lastRow="0" w:noHBand="0" w:noVBand="1" w:val="04A0"/>
      </w:tblPr>
      <w:tblGrid>
        <w:gridCol w:w="1668"/>
        <w:gridCol w:w="1668"/>
        <w:gridCol w:w="1668"/>
        <w:gridCol w:w="1668"/>
        <w:gridCol w:w="1668"/>
        <w:gridCol w:w="1668"/>
      </w:tblGrid>
      <w:tr>
        <w:trPr>
          <w:cantSplit/>
          <w:tblHeader w:val="true"/>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觀察面向</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有效回答 n</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平均分 1–5</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4–5分正向率</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無法判斷／不適用數</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原件位置</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工作任務與課程所學相關</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能依工作流程說明或運用所學</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能辨識安全界線並在疑義時停下或求助</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與服務對象溝通、尊重意願與隱私</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工作紀錄或後續處理符合單位要求</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r>
        <w:trPr>
          <w:cantSplit/>
        </w:trPr>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相較觀察基準有可說明的改變</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[待填]</w:t>
            </w:r>
          </w:p>
        </w:tc>
        <w:tc>
          <w:tcPr>
            <w:tcW w:type="dxa" w:w="1668"/>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[待補]</w:t>
            </w:r>
          </w:p>
        </w:tc>
      </w:tr>
    </w:tbl>
    <w:p>
      <w:pPr>
        <w:keepLines/>
        <w:spacing w:after="80"/>
      </w:pPr>
      <w:r>
        <w:t>結果判讀：逐題呈現有效 n、平均分、正向率及無法判斷數；以事前核定的目標或判定依據說明差距。沒有已核定目標時填「未設定」，不得事後補設門檻。</w:t>
      </w:r>
    </w:p>
    <w:tbl>
      <w:tblPr>
        <w:tblStyle w:val="TableGrid"/>
        <w:tblW w:type="auto" w:w="0"/>
        <w:tblLayout w:type="autofit"/>
        <w:tblLook w:firstColumn="1" w:firstRow="1" w:lastColumn="0" w:lastRow="0" w:noHBand="0" w:noVBand="1" w:val="04A0"/>
      </w:tblPr>
      <w:tblGrid>
        <w:gridCol w:w="2501"/>
        <w:gridCol w:w="2501"/>
        <w:gridCol w:w="2501"/>
        <w:gridCol w:w="2501"/>
      </w:tblGrid>
      <w:tr>
        <w:trPr>
          <w:cantSplit/>
          <w:tblHeader w:val="true"/>
        </w:trPr>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觀察弱項／結果</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目標、差距與原因</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改善決策、負責人與期限</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shd w:fill="D9EAF7"/>
          </w:tcPr>
          <w:p>
            <w:pPr>
              <w:spacing w:after="0"/>
            </w:pPr>
            <w:r>
              <w:rPr>
                <w:b/>
              </w:rPr>
            </w:r>
            <w:r>
              <w:rPr>
                <w:b/>
                <w:sz w:val="18"/>
              </w:rPr>
              <w:t>後續驗證方式、日期與結果</w:t>
            </w:r>
          </w:p>
        </w:tc>
      </w:tr>
      <w:tr>
        <w:trPr>
          <w:cantSplit/>
        </w:trPr>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[待實際資料]</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[待核定目標／差距；未設定請註明]</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[待核定措施／負責人／期限]</w:t>
            </w:r>
          </w:p>
        </w:tc>
        <w:tc>
          <w:tcPr>
            <w:tcW w:type="dxa" w:w="2501"/>
            <w:vAlign w:val="center"/>
            <w:tcMar>
              <w:top w:w="70" w:type="dxa"/>
              <w:bottom w:w="70" w:type="dxa"/>
              <w:start w:w="85" w:type="dxa"/>
              <w:end w:w="85" w:type="dxa"/>
            </w:tcMar>
            <w:tcBorders>
              <w:top w:val="single" w:sz="4" w:color="D9D9D9"/>
              <w:left w:val="single" w:sz="4" w:color="D9D9D9"/>
              <w:bottom w:val="single" w:sz="4" w:color="D9D9D9"/>
              <w:right w:val="single" w:sz="4" w:color="D9D9D9"/>
            </w:tcBorders>
          </w:tcPr>
          <w:p>
            <w:pPr>
              <w:spacing w:after="0"/>
            </w:pPr>
            <w:r/>
            <w:r>
              <w:rPr>
                <w:sz w:val="18"/>
              </w:rPr>
              <w:t>[待追蹤資料／日期／結果]</w:t>
            </w:r>
          </w:p>
        </w:tc>
      </w:tr>
    </w:tbl>
    <w:p>
      <w:pPr>
        <w:keepLines/>
        <w:spacing w:after="80"/>
      </w:pPr>
      <w:r>
        <w:t>圖表使用條件：有有效回覆後，依六項實際平均分繪製分項得分圖；只有同一對象具可配對的訓前基準與訓後資料時才做前後比較，否則註明「不適用」。圖表須標示 n、期間及原始資料位置；取得資料前不繪製、不補數字。</w:t>
      </w:r>
    </w:p>
    <w:p>
      <w:pPr>
        <w:pStyle w:val="Heading2"/>
        <w:keepNext/>
      </w:pPr>
      <w:r>
        <w:rPr>
          <w:rFonts w:ascii="Microsoft JhengHei" w:hAnsi="Microsoft JhengHei" w:eastAsia="Microsoft JhengHei"/>
          <w:b/>
          <w:color w:val="245A81"/>
          <w:sz w:val="24"/>
        </w:rPr>
        <w:t>來源與核對位置</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spacing w:after="0"/>
            </w:pPr>
            <w:r/>
            <w:r>
              <w:rPr>
                <w:sz w:val="18"/>
              </w:rPr>
              <w:t>要求／項目</w:t>
            </w:r>
          </w:p>
        </w:tc>
        <w:tc>
          <w:tcPr>
            <w:tcW w:type="dxa" w:w="1944"/>
            <w:vAlign w:val="center"/>
            <w:shd w:fill="DCEAF5"/>
            <w:tcMar>
              <w:top w:w="85" w:type="dxa"/>
              <w:start w:w="95" w:type="dxa"/>
              <w:bottom w:w="85" w:type="dxa"/>
              <w:end w:w="95" w:type="dxa"/>
            </w:tcMar>
          </w:tcPr>
          <w:p>
            <w:pPr>
              <w:spacing w:after="0"/>
            </w:pPr>
            <w:r/>
            <w:r>
              <w:rPr>
                <w:sz w:val="18"/>
              </w:rPr>
              <w:t>資料來源</w:t>
            </w:r>
          </w:p>
        </w:tc>
        <w:tc>
          <w:tcPr>
            <w:tcW w:type="dxa" w:w="2376"/>
            <w:vAlign w:val="center"/>
            <w:shd w:fill="DCEAF5"/>
            <w:tcMar>
              <w:top w:w="85" w:type="dxa"/>
              <w:start w:w="95" w:type="dxa"/>
              <w:bottom w:w="85" w:type="dxa"/>
              <w:end w:w="95" w:type="dxa"/>
            </w:tcMar>
          </w:tcPr>
          <w:p>
            <w:pPr>
              <w:spacing w:after="0"/>
            </w:pPr>
            <w:r/>
            <w:r>
              <w:rPr>
                <w:sz w:val="18"/>
              </w:rPr>
              <w:t>欄位／指標與結果</w:t>
            </w:r>
          </w:p>
        </w:tc>
        <w:tc>
          <w:tcPr>
            <w:tcW w:type="dxa" w:w="1512"/>
            <w:vAlign w:val="center"/>
            <w:shd w:fill="DCEAF5"/>
            <w:tcMar>
              <w:top w:w="85" w:type="dxa"/>
              <w:start w:w="95" w:type="dxa"/>
              <w:bottom w:w="85" w:type="dxa"/>
              <w:end w:w="95" w:type="dxa"/>
            </w:tcMar>
          </w:tcPr>
          <w:p>
            <w:pPr>
              <w:spacing w:after="0"/>
            </w:pPr>
            <w:r/>
            <w:r>
              <w:rPr>
                <w:sz w:val="18"/>
              </w:rPr>
              <w:t>證據位置</w:t>
            </w:r>
          </w:p>
        </w:tc>
        <w:tc>
          <w:tcPr>
            <w:tcW w:type="dxa" w:w="2088"/>
            <w:vAlign w:val="center"/>
            <w:shd w:fill="DCEAF5"/>
            <w:tcMar>
              <w:top w:w="85" w:type="dxa"/>
              <w:start w:w="95" w:type="dxa"/>
              <w:bottom w:w="85" w:type="dxa"/>
              <w:end w:w="95" w:type="dxa"/>
            </w:tcMar>
          </w:tcPr>
          <w:p>
            <w:pPr>
              <w:spacing w:after="0"/>
            </w:pPr>
            <w:r/>
            <w:r>
              <w:rPr>
                <w:sz w:val="18"/>
              </w:rPr>
              <w:t>覆核／狀態</w:t>
            </w:r>
          </w:p>
        </w:tc>
      </w:tr>
      <w:tr>
        <w:tc>
          <w:tcPr>
            <w:tcW w:type="dxa" w:w="2088"/>
            <w:vAlign w:val="center"/>
            <w:tcMar>
              <w:top w:w="85" w:type="dxa"/>
              <w:start w:w="95" w:type="dxa"/>
              <w:bottom w:w="85" w:type="dxa"/>
              <w:end w:w="95" w:type="dxa"/>
            </w:tcMar>
          </w:tcPr>
          <w:p>
            <w:pPr>
              <w:spacing w:after="0"/>
            </w:pPr>
            <w:r/>
            <w:r>
              <w:rPr>
                <w:sz w:val="18"/>
              </w:rPr>
              <w:t>學員同意與填答資格</w:t>
            </w:r>
          </w:p>
        </w:tc>
        <w:tc>
          <w:tcPr>
            <w:tcW w:type="dxa" w:w="1944"/>
            <w:vAlign w:val="center"/>
            <w:tcMar>
              <w:top w:w="85" w:type="dxa"/>
              <w:start w:w="95" w:type="dxa"/>
              <w:bottom w:w="85" w:type="dxa"/>
              <w:end w:w="95" w:type="dxa"/>
            </w:tcMar>
          </w:tcPr>
          <w:p>
            <w:pPr>
              <w:spacing w:after="0"/>
            </w:pPr>
            <w:r/>
            <w:r>
              <w:rPr>
                <w:sz w:val="18"/>
              </w:rPr>
              <w:t>同意紀錄及填答者資格核對</w:t>
            </w:r>
          </w:p>
        </w:tc>
        <w:tc>
          <w:tcPr>
            <w:tcW w:type="dxa" w:w="2376"/>
            <w:vAlign w:val="center"/>
            <w:tcMar>
              <w:top w:w="85" w:type="dxa"/>
              <w:start w:w="95" w:type="dxa"/>
              <w:bottom w:w="85" w:type="dxa"/>
              <w:end w:w="95" w:type="dxa"/>
            </w:tcMar>
          </w:tcPr>
          <w:p>
            <w:pPr>
              <w:spacing w:after="0"/>
            </w:pPr>
            <w:r/>
            <w:r>
              <w:rPr>
                <w:sz w:val="18"/>
              </w:rPr>
              <w:t>符合資格數、同意狀態</w:t>
            </w:r>
          </w:p>
        </w:tc>
        <w:tc>
          <w:tcPr>
            <w:tcW w:type="dxa" w:w="1512"/>
            <w:vAlign w:val="center"/>
            <w:tcMar>
              <w:top w:w="85" w:type="dxa"/>
              <w:start w:w="95" w:type="dxa"/>
              <w:bottom w:w="85" w:type="dxa"/>
              <w:end w:w="95" w:type="dxa"/>
            </w:tcMar>
          </w:tcPr>
          <w:p>
            <w:pPr>
              <w:spacing w:after="0"/>
            </w:pPr>
            <w:r/>
            <w:r>
              <w:rPr>
                <w:sz w:val="18"/>
              </w:rPr>
              <w:t>[待補]</w:t>
            </w:r>
          </w:p>
        </w:tc>
        <w:tc>
          <w:tcPr>
            <w:tcW w:type="dxa" w:w="2088"/>
            <w:vAlign w:val="center"/>
            <w:tcMar>
              <w:top w:w="85" w:type="dxa"/>
              <w:start w:w="95" w:type="dxa"/>
              <w:bottom w:w="85" w:type="dxa"/>
              <w:end w:w="95" w:type="dxa"/>
            </w:tcMar>
          </w:tcPr>
          <w:p>
            <w:pPr>
              <w:spacing w:after="0"/>
            </w:pPr>
            <w:r/>
            <w:r>
              <w:rPr>
                <w:sz w:val="18"/>
              </w:rPr>
              <w:t>□核對 □待補</w:t>
            </w:r>
          </w:p>
        </w:tc>
      </w:tr>
      <w:tr>
        <w:tc>
          <w:tcPr>
            <w:tcW w:type="dxa" w:w="2088"/>
            <w:vAlign w:val="center"/>
            <w:tcMar>
              <w:top w:w="85" w:type="dxa"/>
              <w:start w:w="95" w:type="dxa"/>
              <w:bottom w:w="85" w:type="dxa"/>
              <w:end w:w="95" w:type="dxa"/>
            </w:tcMar>
          </w:tcPr>
          <w:p>
            <w:pPr>
              <w:spacing w:after="0"/>
            </w:pPr>
            <w:r/>
            <w:r>
              <w:rPr>
                <w:sz w:val="18"/>
              </w:rPr>
              <w:t>雇主問卷原件</w:t>
            </w:r>
          </w:p>
        </w:tc>
        <w:tc>
          <w:tcPr>
            <w:tcW w:type="dxa" w:w="1944"/>
            <w:vAlign w:val="center"/>
            <w:tcMar>
              <w:top w:w="85" w:type="dxa"/>
              <w:start w:w="95" w:type="dxa"/>
              <w:bottom w:w="85" w:type="dxa"/>
              <w:end w:w="95" w:type="dxa"/>
            </w:tcMar>
          </w:tcPr>
          <w:p>
            <w:pPr>
              <w:spacing w:after="0"/>
            </w:pPr>
            <w:r/>
            <w:r>
              <w:rPr>
                <w:sz w:val="18"/>
              </w:rPr>
              <w:t>經授權取得的實際回覆</w:t>
            </w:r>
          </w:p>
        </w:tc>
        <w:tc>
          <w:tcPr>
            <w:tcW w:type="dxa" w:w="2376"/>
            <w:vAlign w:val="center"/>
            <w:tcMar>
              <w:top w:w="85" w:type="dxa"/>
              <w:start w:w="95" w:type="dxa"/>
              <w:bottom w:w="85" w:type="dxa"/>
              <w:end w:w="95" w:type="dxa"/>
            </w:tcMar>
          </w:tcPr>
          <w:p>
            <w:pPr>
              <w:spacing w:after="0"/>
            </w:pPr>
            <w:r/>
            <w:r>
              <w:rPr>
                <w:sz w:val="18"/>
              </w:rPr>
              <w:t>有效回覆 n、未回覆及無法判斷數</w:t>
            </w:r>
          </w:p>
        </w:tc>
        <w:tc>
          <w:tcPr>
            <w:tcW w:type="dxa" w:w="1512"/>
            <w:vAlign w:val="center"/>
            <w:tcMar>
              <w:top w:w="85" w:type="dxa"/>
              <w:start w:w="95" w:type="dxa"/>
              <w:bottom w:w="85" w:type="dxa"/>
              <w:end w:w="95" w:type="dxa"/>
            </w:tcMar>
          </w:tcPr>
          <w:p>
            <w:pPr>
              <w:spacing w:after="0"/>
            </w:pPr>
            <w:r/>
            <w:r>
              <w:rPr>
                <w:sz w:val="18"/>
              </w:rPr>
              <w:t>[待實際回收]</w:t>
            </w:r>
          </w:p>
        </w:tc>
        <w:tc>
          <w:tcPr>
            <w:tcW w:type="dxa" w:w="2088"/>
            <w:vAlign w:val="center"/>
            <w:tcMar>
              <w:top w:w="85" w:type="dxa"/>
              <w:start w:w="95" w:type="dxa"/>
              <w:bottom w:w="85" w:type="dxa"/>
              <w:end w:w="95" w:type="dxa"/>
            </w:tcMar>
          </w:tcPr>
          <w:p>
            <w:pPr>
              <w:spacing w:after="0"/>
            </w:pPr>
            <w:r/>
            <w:r>
              <w:rPr>
                <w:sz w:val="18"/>
              </w:rPr>
              <w:t>□核對 □待補</w:t>
            </w:r>
          </w:p>
        </w:tc>
      </w:tr>
      <w:tr>
        <w:tc>
          <w:tcPr>
            <w:tcW w:type="dxa" w:w="2001"/>
          </w:tcPr>
          <w:p>
            <w:pPr>
              <w:spacing w:after="0"/>
            </w:pPr>
            <w:r/>
            <w:r>
              <w:rPr>
                <w:sz w:val="18"/>
              </w:rPr>
              <w:t>統計與分項圖</w:t>
            </w:r>
          </w:p>
        </w:tc>
        <w:tc>
          <w:tcPr>
            <w:tcW w:type="dxa" w:w="2001"/>
          </w:tcPr>
          <w:p>
            <w:pPr>
              <w:spacing w:after="0"/>
            </w:pPr>
            <w:r/>
            <w:r>
              <w:rPr>
                <w:sz w:val="18"/>
              </w:rPr>
              <w:t>核對後的原始問卷及計算表</w:t>
            </w:r>
          </w:p>
        </w:tc>
        <w:tc>
          <w:tcPr>
            <w:tcW w:type="dxa" w:w="2001"/>
          </w:tcPr>
          <w:p>
            <w:pPr>
              <w:spacing w:after="0"/>
            </w:pPr>
            <w:r/>
            <w:r>
              <w:rPr>
                <w:sz w:val="18"/>
              </w:rPr>
              <w:t>各題平均分、正向率；圖表適用性</w:t>
            </w:r>
          </w:p>
        </w:tc>
        <w:tc>
          <w:tcPr>
            <w:tcW w:type="dxa" w:w="2001"/>
          </w:tcPr>
          <w:p>
            <w:pPr>
              <w:spacing w:after="0"/>
            </w:pPr>
            <w:r/>
            <w:r>
              <w:rPr>
                <w:sz w:val="18"/>
              </w:rPr>
              <w:t>[待實際回收]</w:t>
            </w:r>
          </w:p>
        </w:tc>
        <w:tc>
          <w:tcPr>
            <w:tcW w:type="dxa" w:w="2001"/>
          </w:tcPr>
          <w:p>
            <w:pPr>
              <w:spacing w:after="0"/>
            </w:pPr>
            <w:r/>
            <w:r>
              <w:rPr>
                <w:sz w:val="18"/>
              </w:rPr>
              <w:t>□待建立 □覆核</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3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3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學員訓後雇主問卷調查表</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